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8EC5B">
      <w:pPr>
        <w:pStyle w:val="4"/>
        <w:jc w:val="center"/>
        <w:rPr>
          <w:rFonts w:ascii="仿宋_GB2312" w:hAnsi="仿宋_GB2312" w:eastAsia="方正小标宋简体" w:cs="仿宋_GB2312"/>
          <w:b w:val="0"/>
          <w:kern w:val="2"/>
          <w:sz w:val="32"/>
          <w:szCs w:val="32"/>
        </w:rPr>
      </w:pPr>
      <w:bookmarkStart w:id="0" w:name="_GoBack"/>
      <w:r>
        <w:rPr>
          <w:rFonts w:hint="eastAsia" w:ascii="方正小标宋简体" w:hAnsi="方正小标宋简体" w:eastAsia="方正小标宋简体" w:cs="方正小标宋简体"/>
          <w:b w:val="0"/>
          <w:kern w:val="2"/>
          <w:szCs w:val="44"/>
        </w:rPr>
        <w:t>福建省肿瘤医院调研公告</w:t>
      </w:r>
    </w:p>
    <w:p w14:paraId="184D78DB">
      <w:pPr>
        <w:widowControl/>
        <w:shd w:val="clear" w:color="auto" w:fill="FFFFFF"/>
        <w:adjustRightInd w:val="0"/>
        <w:snapToGrid w:val="0"/>
        <w:spacing w:before="158"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1"/>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03C50BA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9A3642">
            <w:pPr>
              <w:pStyle w:val="9"/>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9A76EB">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1EB701C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E98D16B">
            <w:pPr>
              <w:widowControl/>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6099C0">
            <w:pPr>
              <w:widowControl/>
              <w:spacing w:line="315" w:lineRule="atLeas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eastAsia="zh-CN"/>
              </w:rPr>
              <w:t>医院数据中心机房项目</w:t>
            </w:r>
          </w:p>
        </w:tc>
      </w:tr>
      <w:tr w14:paraId="1CA8690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1FEE3B">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56E152">
            <w:pPr>
              <w:spacing w:before="150" w:line="560" w:lineRule="exact"/>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调研报名时间： 202</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 xml:space="preserve"> 年</w:t>
            </w:r>
            <w:r>
              <w:rPr>
                <w:rFonts w:hint="eastAsia" w:ascii="仿宋_GB2312" w:hAnsi="仿宋_GB2312" w:eastAsia="仿宋_GB2312" w:cs="仿宋_GB2312"/>
                <w:color w:val="000000"/>
                <w:kern w:val="0"/>
                <w:sz w:val="32"/>
                <w:szCs w:val="32"/>
                <w:highlight w:val="none"/>
                <w:u w:val="single"/>
                <w:lang w:val="en-US" w:eastAsia="zh-CN"/>
              </w:rPr>
              <w:t>12</w:t>
            </w:r>
            <w:r>
              <w:rPr>
                <w:rFonts w:hint="eastAsia" w:ascii="仿宋_GB2312" w:hAnsi="仿宋_GB2312" w:eastAsia="仿宋_GB2312" w:cs="仿宋_GB2312"/>
                <w:color w:val="000000"/>
                <w:kern w:val="0"/>
                <w:sz w:val="32"/>
                <w:szCs w:val="32"/>
                <w:highlight w:val="none"/>
              </w:rPr>
              <w:t xml:space="preserve">月 </w:t>
            </w:r>
            <w:r>
              <w:rPr>
                <w:rFonts w:hint="eastAsia" w:ascii="仿宋_GB2312" w:hAnsi="仿宋_GB2312" w:eastAsia="仿宋_GB2312" w:cs="仿宋_GB2312"/>
                <w:color w:val="000000"/>
                <w:kern w:val="0"/>
                <w:sz w:val="32"/>
                <w:szCs w:val="32"/>
                <w:highlight w:val="none"/>
                <w:u w:val="single"/>
                <w:lang w:val="en-US" w:eastAsia="zh-CN"/>
              </w:rPr>
              <w:t>31</w:t>
            </w:r>
            <w:r>
              <w:rPr>
                <w:rFonts w:hint="eastAsia" w:ascii="仿宋_GB2312" w:hAnsi="仿宋_GB2312" w:eastAsia="仿宋_GB2312" w:cs="仿宋_GB2312"/>
                <w:color w:val="000000"/>
                <w:kern w:val="0"/>
                <w:sz w:val="32"/>
                <w:szCs w:val="32"/>
                <w:highlight w:val="none"/>
              </w:rPr>
              <w:t>日至202</w:t>
            </w:r>
            <w:r>
              <w:rPr>
                <w:rFonts w:hint="eastAsia"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 xml:space="preserve"> 年 </w:t>
            </w:r>
            <w:r>
              <w:rPr>
                <w:rFonts w:hint="eastAsia" w:ascii="仿宋_GB2312" w:hAnsi="仿宋_GB2312" w:eastAsia="仿宋_GB2312" w:cs="仿宋_GB2312"/>
                <w:color w:val="000000"/>
                <w:kern w:val="0"/>
                <w:sz w:val="32"/>
                <w:szCs w:val="32"/>
                <w:highlight w:val="none"/>
                <w:u w:val="single"/>
                <w:lang w:val="en-US" w:eastAsia="zh-CN"/>
              </w:rPr>
              <w:t>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7</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highlight w:val="none"/>
                <w:shd w:val="clear" w:color="auto" w:fill="FFFFFF"/>
              </w:rPr>
              <w:t>(节假日除外)8：00-12：00或14：00-17：00(北京时间）</w:t>
            </w:r>
          </w:p>
          <w:p w14:paraId="2C197A63">
            <w:pPr>
              <w:widowControl/>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highlight w:val="none"/>
              </w:rPr>
              <w:t>调研会时间： 202</w:t>
            </w:r>
            <w:r>
              <w:rPr>
                <w:rFonts w:hint="eastAsia" w:ascii="仿宋_GB2312" w:hAnsi="仿宋_GB2312" w:eastAsia="仿宋_GB2312" w:cs="仿宋_GB2312"/>
                <w:color w:val="000000"/>
                <w:kern w:val="0"/>
                <w:sz w:val="32"/>
                <w:szCs w:val="32"/>
                <w:highlight w:val="none"/>
                <w:lang w:val="en-US" w:eastAsia="zh-CN"/>
              </w:rPr>
              <w:t>6</w:t>
            </w:r>
            <w:r>
              <w:rPr>
                <w:rFonts w:hint="eastAsia" w:ascii="仿宋_GB2312" w:hAnsi="仿宋_GB2312" w:eastAsia="仿宋_GB2312" w:cs="仿宋_GB2312"/>
                <w:color w:val="000000"/>
                <w:kern w:val="0"/>
                <w:sz w:val="32"/>
                <w:szCs w:val="32"/>
                <w:highlight w:val="none"/>
              </w:rPr>
              <w:t xml:space="preserve"> 年</w:t>
            </w:r>
            <w:r>
              <w:rPr>
                <w:rFonts w:hint="eastAsia" w:ascii="仿宋_GB2312" w:hAnsi="仿宋_GB2312" w:eastAsia="仿宋_GB2312" w:cs="仿宋_GB2312"/>
                <w:color w:val="000000"/>
                <w:kern w:val="0"/>
                <w:sz w:val="32"/>
                <w:szCs w:val="32"/>
                <w:highlight w:val="none"/>
                <w:u w:val="single"/>
                <w:lang w:val="en-US" w:eastAsia="zh-CN"/>
              </w:rPr>
              <w:t>1</w:t>
            </w:r>
            <w:r>
              <w:rPr>
                <w:rFonts w:hint="eastAsia" w:ascii="仿宋_GB2312" w:hAnsi="仿宋_GB2312" w:eastAsia="仿宋_GB2312" w:cs="仿宋_GB2312"/>
                <w:color w:val="000000"/>
                <w:kern w:val="0"/>
                <w:sz w:val="32"/>
                <w:szCs w:val="32"/>
                <w:highlight w:val="none"/>
              </w:rPr>
              <w:t xml:space="preserve">月 </w:t>
            </w:r>
            <w:r>
              <w:rPr>
                <w:rFonts w:hint="eastAsia" w:ascii="仿宋_GB2312" w:hAnsi="仿宋_GB2312" w:eastAsia="仿宋_GB2312" w:cs="仿宋_GB2312"/>
                <w:color w:val="000000"/>
                <w:kern w:val="0"/>
                <w:sz w:val="32"/>
                <w:szCs w:val="32"/>
                <w:highlight w:val="none"/>
                <w:u w:val="single"/>
                <w:lang w:val="en-US" w:eastAsia="zh-CN"/>
              </w:rPr>
              <w:t>8</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kern w:val="0"/>
                <w:sz w:val="32"/>
                <w:szCs w:val="32"/>
                <w:highlight w:val="none"/>
                <w:lang w:val="en-US" w:eastAsia="zh-CN"/>
              </w:rPr>
              <w:t>9</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0</w:t>
            </w:r>
          </w:p>
        </w:tc>
      </w:tr>
      <w:tr w14:paraId="47CB708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9002AEE">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54CD5A">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3D32CA2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645200A">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FA5DEA">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08E3675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43B597">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9B9002">
            <w:pPr>
              <w:widowControl/>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6200F76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D314A5">
            <w:pPr>
              <w:widowControl/>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75B0E81">
            <w:pPr>
              <w:widowControl/>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0B82978">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p>
    <w:p w14:paraId="70DC126B">
      <w:pPr>
        <w:widowControl/>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8FB15E7">
      <w:pPr>
        <w:widowControl/>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6970D9FF">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0C14AFBB">
      <w:pPr>
        <w:widowControl/>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223FA4B2">
      <w:pPr>
        <w:widowControl/>
        <w:shd w:val="clear" w:color="auto" w:fill="FFFFFF"/>
        <w:spacing w:line="440" w:lineRule="atLeast"/>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钱工、杜工、郑</w:t>
      </w:r>
      <w:r>
        <w:rPr>
          <w:rFonts w:hint="eastAsia" w:ascii="仿宋_GB2312" w:hAnsi="仿宋_GB2312" w:eastAsia="仿宋_GB2312" w:cs="仿宋_GB2312"/>
          <w:bCs/>
          <w:color w:val="000000"/>
          <w:kern w:val="0"/>
          <w:sz w:val="32"/>
          <w:szCs w:val="32"/>
          <w:shd w:val="clear" w:color="auto" w:fill="FFFFFF"/>
        </w:rPr>
        <w:t>工</w:t>
      </w:r>
      <w:r>
        <w:rPr>
          <w:rFonts w:hint="eastAsia"/>
        </w:rPr>
        <w:br w:type="page"/>
      </w:r>
    </w:p>
    <w:p w14:paraId="4A28D4DD">
      <w:pPr>
        <w:widowControl/>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474CF7A4">
      <w:pPr>
        <w:widowControl/>
        <w:shd w:val="clear" w:color="auto" w:fill="FFFFFF"/>
        <w:spacing w:line="440" w:lineRule="atLeast"/>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11"/>
        <w:tblpPr w:leftFromText="180" w:rightFromText="180" w:vertAnchor="text" w:horzAnchor="page" w:tblpX="2116" w:tblpY="283"/>
        <w:tblOverlap w:val="never"/>
        <w:tblW w:w="84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5"/>
        <w:gridCol w:w="3828"/>
        <w:gridCol w:w="1298"/>
        <w:gridCol w:w="2077"/>
      </w:tblGrid>
      <w:tr w14:paraId="6BDF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55" w:type="dxa"/>
            <w:vAlign w:val="center"/>
          </w:tcPr>
          <w:p w14:paraId="7EF1FBFB">
            <w:pPr>
              <w:widowControl/>
              <w:spacing w:after="158" w:afterLines="50"/>
              <w:jc w:val="center"/>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828" w:type="dxa"/>
            <w:vAlign w:val="center"/>
          </w:tcPr>
          <w:p w14:paraId="2CDCE64F">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298" w:type="dxa"/>
            <w:vAlign w:val="center"/>
          </w:tcPr>
          <w:p w14:paraId="5DA7AF99">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2077" w:type="dxa"/>
            <w:vAlign w:val="center"/>
          </w:tcPr>
          <w:p w14:paraId="3900FBE7">
            <w:pPr>
              <w:widowControl/>
              <w:spacing w:after="158" w:afterLines="50"/>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60EF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55" w:type="dxa"/>
            <w:vAlign w:val="center"/>
          </w:tcPr>
          <w:p w14:paraId="1A05635A">
            <w:pPr>
              <w:widowControl/>
              <w:spacing w:after="158" w:afterLines="5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3828" w:type="dxa"/>
            <w:vAlign w:val="center"/>
          </w:tcPr>
          <w:p w14:paraId="3F19341B">
            <w:pPr>
              <w:jc w:val="center"/>
              <w:rPr>
                <w:rFonts w:ascii="仿宋" w:hAnsi="仿宋" w:eastAsia="仿宋" w:cs="仿宋"/>
                <w:color w:val="000000"/>
                <w:kern w:val="0"/>
                <w:sz w:val="24"/>
              </w:rPr>
            </w:pPr>
            <w:r>
              <w:rPr>
                <w:rFonts w:hint="eastAsia" w:ascii="仿宋" w:hAnsi="仿宋" w:eastAsia="仿宋" w:cs="仿宋"/>
                <w:bCs/>
                <w:sz w:val="24"/>
                <w:lang w:eastAsia="zh-CN"/>
              </w:rPr>
              <w:t>医院数据中心机房项目</w:t>
            </w:r>
          </w:p>
        </w:tc>
        <w:tc>
          <w:tcPr>
            <w:tcW w:w="1298" w:type="dxa"/>
            <w:vAlign w:val="center"/>
          </w:tcPr>
          <w:p w14:paraId="2116E29C">
            <w:pPr>
              <w:autoSpaceDN w:val="0"/>
              <w:jc w:val="center"/>
              <w:textAlignment w:val="center"/>
              <w:rPr>
                <w:rFonts w:ascii="仿宋" w:hAnsi="仿宋" w:eastAsia="仿宋" w:cs="仿宋"/>
                <w:color w:val="000000"/>
                <w:sz w:val="24"/>
              </w:rPr>
            </w:pPr>
            <w:r>
              <w:rPr>
                <w:rFonts w:hint="eastAsia" w:ascii="仿宋" w:hAnsi="仿宋" w:eastAsia="仿宋" w:cs="仿宋"/>
                <w:color w:val="000000"/>
                <w:sz w:val="24"/>
              </w:rPr>
              <w:t>1项</w:t>
            </w:r>
          </w:p>
        </w:tc>
        <w:tc>
          <w:tcPr>
            <w:tcW w:w="2077" w:type="dxa"/>
            <w:vAlign w:val="center"/>
          </w:tcPr>
          <w:p w14:paraId="269A9E1E">
            <w:pPr>
              <w:autoSpaceDN w:val="0"/>
              <w:jc w:val="center"/>
              <w:textAlignment w:val="center"/>
              <w:rPr>
                <w:rFonts w:hint="eastAsia" w:ascii="仿宋" w:hAnsi="仿宋" w:eastAsia="仿宋" w:cs="仿宋"/>
                <w:color w:val="000000"/>
                <w:sz w:val="24"/>
                <w:lang w:eastAsia="zh-CN"/>
              </w:rPr>
            </w:pPr>
          </w:p>
        </w:tc>
      </w:tr>
    </w:tbl>
    <w:p w14:paraId="36A7DACF">
      <w:pPr>
        <w:keepNext/>
        <w:widowControl/>
        <w:shd w:val="clear" w:color="auto" w:fill="FFFFFF"/>
        <w:autoSpaceDE w:val="0"/>
        <w:spacing w:before="120" w:after="120"/>
        <w:rPr>
          <w:rFonts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6A875EB6">
      <w:pPr>
        <w:pStyle w:val="15"/>
        <w:numPr>
          <w:ilvl w:val="0"/>
          <w:numId w:val="0"/>
        </w:numPr>
        <w:rPr>
          <w:rFonts w:hint="eastAsia" w:ascii="华文楷体" w:hAnsi="华文楷体" w:eastAsia="华文楷体" w:cs="华文楷体"/>
        </w:rPr>
      </w:pPr>
      <w:r>
        <w:rPr>
          <w:rFonts w:hint="eastAsia" w:ascii="华文楷体" w:hAnsi="华文楷体" w:eastAsia="华文楷体" w:cs="华文楷体"/>
        </w:rPr>
        <w:t>1、合同包（一）</w:t>
      </w:r>
    </w:p>
    <w:p w14:paraId="05C9404C">
      <w:pPr>
        <w:pStyle w:val="15"/>
        <w:numPr>
          <w:ilvl w:val="0"/>
          <w:numId w:val="0"/>
        </w:numPr>
        <w:rPr>
          <w:rFonts w:hint="eastAsia" w:ascii="华文楷体" w:hAnsi="华文楷体" w:eastAsia="华文楷体" w:cs="华文楷体"/>
        </w:rPr>
      </w:pPr>
      <w:r>
        <w:rPr>
          <w:rFonts w:hint="eastAsia" w:ascii="华文楷体" w:hAnsi="华文楷体" w:eastAsia="华文楷体" w:cs="华文楷体"/>
        </w:rPr>
        <w:t>本项目数据中心机房</w:t>
      </w:r>
      <w:r>
        <w:rPr>
          <w:rFonts w:hint="eastAsia" w:ascii="华文楷体" w:hAnsi="华文楷体" w:eastAsia="华文楷体" w:cs="华文楷体"/>
          <w:lang w:val="en-US" w:eastAsia="zh-CN"/>
        </w:rPr>
        <w:t>项目</w:t>
      </w:r>
      <w:r>
        <w:rPr>
          <w:rFonts w:hint="eastAsia" w:ascii="华文楷体" w:hAnsi="华文楷体" w:eastAsia="华文楷体" w:cs="华文楷体"/>
        </w:rPr>
        <w:t>涵盖机房装修子系统、机房新风子系统、机房供配电</w:t>
      </w:r>
      <w:r>
        <w:rPr>
          <w:rFonts w:hint="eastAsia" w:ascii="华文楷体" w:hAnsi="华文楷体" w:eastAsia="华文楷体" w:cs="华文楷体"/>
          <w:lang w:val="en-US" w:eastAsia="zh-CN"/>
        </w:rPr>
        <w:t>及</w:t>
      </w:r>
      <w:r>
        <w:rPr>
          <w:rFonts w:hint="eastAsia" w:ascii="华文楷体" w:hAnsi="华文楷体" w:eastAsia="华文楷体" w:cs="华文楷体"/>
        </w:rPr>
        <w:t>不间断电源子系统、机房机柜和微模块通道子系统、机房综合布线子系统、机房场地监控子系统、机房安全防范子系统</w:t>
      </w:r>
      <w:r>
        <w:rPr>
          <w:rFonts w:hint="eastAsia" w:ascii="华文楷体" w:hAnsi="华文楷体" w:eastAsia="华文楷体" w:cs="华文楷体"/>
          <w:lang w:eastAsia="zh-CN"/>
        </w:rPr>
        <w:t>，</w:t>
      </w:r>
      <w:r>
        <w:rPr>
          <w:rFonts w:hint="eastAsia" w:ascii="华文楷体" w:hAnsi="华文楷体" w:eastAsia="华文楷体" w:cs="华文楷体"/>
          <w:lang w:val="en-US" w:eastAsia="zh-CN"/>
        </w:rPr>
        <w:t>本项目</w:t>
      </w:r>
      <w:r>
        <w:rPr>
          <w:rFonts w:hint="eastAsia" w:ascii="华文楷体" w:hAnsi="华文楷体" w:eastAsia="华文楷体" w:cs="华文楷体"/>
        </w:rPr>
        <w:t>包含对原有数据中心机房服务器</w:t>
      </w:r>
      <w:r>
        <w:rPr>
          <w:rFonts w:hint="eastAsia" w:ascii="华文楷体" w:hAnsi="华文楷体" w:eastAsia="华文楷体" w:cs="华文楷体"/>
          <w:lang w:eastAsia="zh-CN"/>
        </w:rPr>
        <w:t>、</w:t>
      </w:r>
      <w:r>
        <w:rPr>
          <w:rFonts w:hint="eastAsia" w:ascii="华文楷体" w:hAnsi="华文楷体" w:eastAsia="华文楷体" w:cs="华文楷体"/>
          <w:lang w:val="en-US" w:eastAsia="zh-CN"/>
        </w:rPr>
        <w:t>存储、</w:t>
      </w:r>
      <w:r>
        <w:rPr>
          <w:rFonts w:hint="eastAsia" w:ascii="华文楷体" w:hAnsi="华文楷体" w:eastAsia="华文楷体" w:cs="华文楷体"/>
        </w:rPr>
        <w:t>核心网络</w:t>
      </w:r>
      <w:r>
        <w:rPr>
          <w:rFonts w:hint="eastAsia" w:ascii="华文楷体" w:hAnsi="华文楷体" w:eastAsia="华文楷体" w:cs="华文楷体"/>
          <w:lang w:val="en-US" w:eastAsia="zh-CN"/>
        </w:rPr>
        <w:t>交换机等</w:t>
      </w:r>
      <w:r>
        <w:rPr>
          <w:rFonts w:hint="eastAsia" w:ascii="华文楷体" w:hAnsi="华文楷体" w:eastAsia="华文楷体" w:cs="华文楷体"/>
        </w:rPr>
        <w:t>设备</w:t>
      </w:r>
      <w:r>
        <w:rPr>
          <w:rFonts w:hint="eastAsia" w:ascii="华文楷体" w:hAnsi="华文楷体" w:eastAsia="华文楷体" w:cs="华文楷体"/>
          <w:lang w:val="en-US" w:eastAsia="zh-CN"/>
        </w:rPr>
        <w:t>的</w:t>
      </w:r>
      <w:r>
        <w:rPr>
          <w:rFonts w:hint="eastAsia" w:ascii="华文楷体" w:hAnsi="华文楷体" w:eastAsia="华文楷体" w:cs="华文楷体"/>
        </w:rPr>
        <w:t>搬迁</w:t>
      </w:r>
      <w:r>
        <w:rPr>
          <w:rFonts w:hint="eastAsia" w:ascii="华文楷体" w:hAnsi="华文楷体" w:eastAsia="华文楷体" w:cs="华文楷体"/>
          <w:lang w:val="en-US" w:eastAsia="zh-CN"/>
        </w:rPr>
        <w:t>与集成</w:t>
      </w:r>
      <w:r>
        <w:rPr>
          <w:rFonts w:hint="eastAsia" w:ascii="华文楷体" w:hAnsi="华文楷体" w:eastAsia="华文楷体" w:cs="华文楷体"/>
        </w:rPr>
        <w:t>服务。</w:t>
      </w:r>
    </w:p>
    <w:tbl>
      <w:tblPr>
        <w:tblStyle w:val="11"/>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126"/>
        <w:gridCol w:w="6261"/>
      </w:tblGrid>
      <w:tr w14:paraId="68E1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tcPr>
          <w:p w14:paraId="0542FE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2126" w:type="dxa"/>
          </w:tcPr>
          <w:p w14:paraId="67608B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w:t>
            </w:r>
          </w:p>
        </w:tc>
        <w:tc>
          <w:tcPr>
            <w:tcW w:w="6261" w:type="dxa"/>
          </w:tcPr>
          <w:p w14:paraId="0A5754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技术参数要求</w:t>
            </w:r>
          </w:p>
        </w:tc>
      </w:tr>
      <w:tr w14:paraId="3D6D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14:paraId="60518FD9">
            <w:pPr>
              <w:pStyle w:val="19"/>
              <w:keepNext w:val="0"/>
              <w:keepLines w:val="0"/>
              <w:pageBreakBefore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仿宋" w:hAnsi="仿宋" w:eastAsia="仿宋" w:cs="仿宋"/>
                <w:sz w:val="28"/>
                <w:szCs w:val="28"/>
              </w:rPr>
            </w:pPr>
          </w:p>
        </w:tc>
        <w:tc>
          <w:tcPr>
            <w:tcW w:w="2126" w:type="dxa"/>
            <w:vMerge w:val="restart"/>
            <w:vAlign w:val="center"/>
          </w:tcPr>
          <w:p w14:paraId="2250DCD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rPr>
            </w:pPr>
            <w:r>
              <w:rPr>
                <w:rFonts w:hint="eastAsia" w:ascii="仿宋" w:hAnsi="仿宋" w:eastAsia="仿宋" w:cs="仿宋"/>
                <w:bCs/>
                <w:sz w:val="24"/>
                <w:lang w:eastAsia="zh-CN"/>
              </w:rPr>
              <w:t>医院数据中心机房项目</w:t>
            </w:r>
          </w:p>
        </w:tc>
        <w:tc>
          <w:tcPr>
            <w:tcW w:w="6261" w:type="dxa"/>
          </w:tcPr>
          <w:p w14:paraId="4E326DCE">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机房装修子系统：包含给排水，接地系统。面积：315 m²。</w:t>
            </w:r>
          </w:p>
        </w:tc>
      </w:tr>
      <w:tr w14:paraId="51B8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14:paraId="711291C0">
            <w:pPr>
              <w:pStyle w:val="19"/>
              <w:keepNext w:val="0"/>
              <w:keepLines w:val="0"/>
              <w:pageBreakBefore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仿宋" w:hAnsi="仿宋" w:eastAsia="仿宋" w:cs="仿宋"/>
                <w:sz w:val="28"/>
                <w:szCs w:val="28"/>
              </w:rPr>
            </w:pPr>
          </w:p>
        </w:tc>
        <w:tc>
          <w:tcPr>
            <w:tcW w:w="2126" w:type="dxa"/>
            <w:vMerge w:val="continue"/>
          </w:tcPr>
          <w:p w14:paraId="1DC890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6261" w:type="dxa"/>
          </w:tcPr>
          <w:p w14:paraId="678F701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机房新风子系统：包括新风设备，设计应满足机房的新风风量并考虑备份。</w:t>
            </w:r>
          </w:p>
        </w:tc>
      </w:tr>
      <w:tr w14:paraId="0924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14:paraId="130FF6DF">
            <w:pPr>
              <w:pStyle w:val="19"/>
              <w:keepNext w:val="0"/>
              <w:keepLines w:val="0"/>
              <w:pageBreakBefore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仿宋" w:hAnsi="仿宋" w:eastAsia="仿宋" w:cs="仿宋"/>
                <w:sz w:val="28"/>
                <w:szCs w:val="28"/>
              </w:rPr>
            </w:pPr>
          </w:p>
        </w:tc>
        <w:tc>
          <w:tcPr>
            <w:tcW w:w="2126" w:type="dxa"/>
            <w:vMerge w:val="continue"/>
          </w:tcPr>
          <w:p w14:paraId="73316A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6261" w:type="dxa"/>
          </w:tcPr>
          <w:p w14:paraId="4B49DB8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机房供配电及不间断电源子系统：配电柜、空调动力ups（单机设计）、</w:t>
            </w:r>
            <w:r>
              <w:rPr>
                <w:rFonts w:hint="default" w:ascii="仿宋" w:hAnsi="仿宋" w:eastAsia="仿宋" w:cs="仿宋"/>
                <w:sz w:val="28"/>
                <w:szCs w:val="28"/>
                <w:lang w:val="en-US" w:eastAsia="zh-CN"/>
              </w:rPr>
              <w:t>ITUPS</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IT</w:t>
            </w:r>
            <w:r>
              <w:rPr>
                <w:rFonts w:hint="eastAsia" w:ascii="仿宋" w:hAnsi="仿宋" w:eastAsia="仿宋" w:cs="仿宋"/>
                <w:sz w:val="28"/>
                <w:szCs w:val="28"/>
                <w:lang w:val="en-US" w:eastAsia="zh-CN"/>
              </w:rPr>
              <w:t>UPS配置应考虑备份配置，采用双总线供电方式）、电池组（系统后备时间应不少于60分钟）。</w:t>
            </w:r>
          </w:p>
        </w:tc>
      </w:tr>
      <w:tr w14:paraId="69D9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14:paraId="7C39DD73">
            <w:pPr>
              <w:pStyle w:val="19"/>
              <w:keepNext w:val="0"/>
              <w:keepLines w:val="0"/>
              <w:pageBreakBefore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仿宋" w:hAnsi="仿宋" w:eastAsia="仿宋" w:cs="仿宋"/>
                <w:sz w:val="28"/>
                <w:szCs w:val="28"/>
              </w:rPr>
            </w:pPr>
          </w:p>
        </w:tc>
        <w:tc>
          <w:tcPr>
            <w:tcW w:w="2126" w:type="dxa"/>
            <w:vMerge w:val="continue"/>
          </w:tcPr>
          <w:p w14:paraId="41D25E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6261" w:type="dxa"/>
          </w:tcPr>
          <w:p w14:paraId="38A44CE3">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机房机柜和微模块通道子系统：2组模块化机组，每组包含（20台服务器机柜、2台一体化ups机柜、4台列间空调、微模块通道组件、微模块内监控组件），每组平均单柜按7kw设计；其中1组需设计10个12kw机柜用于智算场景。</w:t>
            </w:r>
          </w:p>
        </w:tc>
      </w:tr>
      <w:tr w14:paraId="15C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14:paraId="3E13C274">
            <w:pPr>
              <w:pStyle w:val="19"/>
              <w:keepNext w:val="0"/>
              <w:keepLines w:val="0"/>
              <w:pageBreakBefore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仿宋" w:hAnsi="仿宋" w:eastAsia="仿宋" w:cs="仿宋"/>
                <w:sz w:val="28"/>
                <w:szCs w:val="28"/>
              </w:rPr>
            </w:pPr>
          </w:p>
        </w:tc>
        <w:tc>
          <w:tcPr>
            <w:tcW w:w="2126" w:type="dxa"/>
            <w:vMerge w:val="continue"/>
          </w:tcPr>
          <w:p w14:paraId="1B2209E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6261" w:type="dxa"/>
          </w:tcPr>
          <w:p w14:paraId="4624E2E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机房综合布线子系统：每台机柜应至少设置24根六类非屏蔽双绞线及24芯万兆多模OM4光纤。</w:t>
            </w:r>
          </w:p>
        </w:tc>
      </w:tr>
      <w:tr w14:paraId="1AAD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14:paraId="521DA7A6">
            <w:pPr>
              <w:pStyle w:val="19"/>
              <w:keepNext w:val="0"/>
              <w:keepLines w:val="0"/>
              <w:pageBreakBefore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仿宋" w:hAnsi="仿宋" w:eastAsia="仿宋" w:cs="仿宋"/>
                <w:sz w:val="28"/>
                <w:szCs w:val="28"/>
              </w:rPr>
            </w:pPr>
          </w:p>
        </w:tc>
        <w:tc>
          <w:tcPr>
            <w:tcW w:w="2126" w:type="dxa"/>
            <w:vMerge w:val="continue"/>
          </w:tcPr>
          <w:p w14:paraId="0D3EB1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6261" w:type="dxa"/>
          </w:tcPr>
          <w:p w14:paraId="579CD090">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新旧机房场地监控子系统：监控内容包括但不仅限供配电系统、防雷系统、UPS主机、精密空调、新风机、机房温湿度、机房漏水监测系统、机房安防系统、机房消防系统等内容，并能对主要数据展示和管理，支持3</w:t>
            </w:r>
            <w:r>
              <w:rPr>
                <w:rFonts w:hint="default" w:ascii="仿宋" w:hAnsi="仿宋" w:eastAsia="仿宋" w:cs="仿宋"/>
                <w:sz w:val="28"/>
                <w:szCs w:val="28"/>
                <w:lang w:val="en-US" w:eastAsia="zh-CN"/>
              </w:rPr>
              <w:t>D</w:t>
            </w:r>
            <w:r>
              <w:rPr>
                <w:rFonts w:hint="eastAsia" w:ascii="仿宋" w:hAnsi="仿宋" w:eastAsia="仿宋" w:cs="仿宋"/>
                <w:sz w:val="28"/>
                <w:szCs w:val="28"/>
                <w:lang w:val="en-US" w:eastAsia="zh-CN"/>
              </w:rPr>
              <w:t>可视化，能效管理，移动运维，资产管理，容量管理。</w:t>
            </w:r>
          </w:p>
        </w:tc>
      </w:tr>
      <w:tr w14:paraId="6693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3" w:type="dxa"/>
            <w:vAlign w:val="center"/>
          </w:tcPr>
          <w:p w14:paraId="15439FAC">
            <w:pPr>
              <w:pStyle w:val="19"/>
              <w:keepNext w:val="0"/>
              <w:keepLines w:val="0"/>
              <w:pageBreakBefore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仿宋" w:hAnsi="仿宋" w:eastAsia="仿宋" w:cs="仿宋"/>
                <w:sz w:val="28"/>
                <w:szCs w:val="28"/>
              </w:rPr>
            </w:pPr>
          </w:p>
        </w:tc>
        <w:tc>
          <w:tcPr>
            <w:tcW w:w="2126" w:type="dxa"/>
            <w:vMerge w:val="continue"/>
          </w:tcPr>
          <w:p w14:paraId="3B965E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6261" w:type="dxa"/>
          </w:tcPr>
          <w:p w14:paraId="503D8116">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机房安全防范子系统（国密）：包含新旧机房的视频监控、门禁设备，满足国密测评要求。</w:t>
            </w:r>
          </w:p>
        </w:tc>
      </w:tr>
    </w:tbl>
    <w:p w14:paraId="60F17059">
      <w:pPr>
        <w:rPr>
          <w:rFonts w:ascii="仿宋_GB2312" w:hAnsi="仿宋_GB2312" w:eastAsia="仿宋_GB2312" w:cs="仿宋_GB2312"/>
          <w:b/>
          <w:bCs/>
          <w:sz w:val="32"/>
          <w:szCs w:val="32"/>
        </w:rPr>
      </w:pPr>
    </w:p>
    <w:p w14:paraId="33563A8B">
      <w:pPr>
        <w:keepNext w:val="0"/>
        <w:keepLines w:val="0"/>
        <w:pageBreakBefore w:val="0"/>
        <w:numPr>
          <w:ilvl w:val="0"/>
          <w:numId w:val="3"/>
        </w:numPr>
        <w:kinsoku/>
        <w:wordWrap/>
        <w:topLinePunct w:val="0"/>
        <w:bidi w:val="0"/>
        <w:snapToGrid/>
        <w:ind w:left="0" w:leftChars="0" w:firstLine="0"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14:paraId="01ADBEA6">
      <w:pPr>
        <w:pStyle w:val="2"/>
        <w:keepNext w:val="0"/>
        <w:keepLines w:val="0"/>
        <w:pageBreakBefore w:val="0"/>
        <w:kinsoku/>
        <w:wordWrap/>
        <w:topLinePunct w:val="0"/>
        <w:bidi w:val="0"/>
        <w:snapToGrid/>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总体要求：建设一个涵盖动力、环境、安防、能耗管理于一体的整体系统，实现实时监控、事前预警、事中报警并处理、事后取证的安全管理模式，构建一个具备“安全、可靠、规范、节能”的数据中心机房，保障我院医疗信息系统核心应用的稳定可靠不间断运行，实现统一管理，实现规模化运营、高质量发展。同时，要求数据中心机房的服务能力具有可弹性的扩展空间，可满足目前及未来5年内发展的需求。</w:t>
      </w:r>
    </w:p>
    <w:p w14:paraId="2D484964">
      <w:pPr>
        <w:pStyle w:val="18"/>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2、本项目整体设计及施工需符合 GB 50174-2017《数据中心设计规范》 B 级及以上标准。</w:t>
      </w:r>
    </w:p>
    <w:p w14:paraId="131B2CE9">
      <w:pPr>
        <w:pStyle w:val="18"/>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3、本项目采用双路供电冗余设计，</w:t>
      </w:r>
      <w:r>
        <w:rPr>
          <w:rFonts w:hint="default" w:ascii="仿宋_GB2312" w:hAnsi="仿宋_GB2312" w:eastAsia="仿宋_GB2312" w:cs="仿宋_GB2312"/>
          <w:color w:val="auto"/>
          <w:sz w:val="32"/>
          <w:szCs w:val="32"/>
          <w:lang w:val="en-US" w:eastAsia="zh-CN"/>
        </w:rPr>
        <w:t>IT</w:t>
      </w:r>
      <w:r>
        <w:rPr>
          <w:rFonts w:hint="eastAsia" w:ascii="仿宋_GB2312" w:hAnsi="仿宋_GB2312" w:eastAsia="仿宋_GB2312" w:cs="仿宋_GB2312"/>
          <w:color w:val="auto"/>
          <w:sz w:val="32"/>
          <w:szCs w:val="32"/>
          <w:lang w:val="en-US" w:eastAsia="zh-CN"/>
        </w:rPr>
        <w:t>UPS 系统支持 N+1 冗余，电池续航时间不低于60分钟，并兼容医院柴油发电机无缝切换，保障关键业务不中断。</w:t>
      </w:r>
    </w:p>
    <w:p w14:paraId="7C8ED73D">
      <w:pPr>
        <w:pStyle w:val="18"/>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4、本项目采用封闭冷通道设计，主机房温度控制在 18℃~27℃，湿度 40%~60%，具备故障预警功能，单台空调故障时其余设备可自动冗余补位，避免局部过热。</w:t>
      </w:r>
    </w:p>
    <w:p w14:paraId="52570654">
      <w:pPr>
        <w:pStyle w:val="18"/>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5、本项目需内置物理安全防护体系，包括机柜机械锁、通道人脸/指纹/密码/刷卡门禁、24小时视频监控，相关操作日志及视频存储时间不少于3 个月。</w:t>
      </w:r>
    </w:p>
    <w:p w14:paraId="2A2A097B">
      <w:pPr>
        <w:pStyle w:val="18"/>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6、本项目运维管理系统需具备远程监控+本地运维双重模式，支持手机 APP 告警推送，故障定位精度达到机柜级，且运维操作不涉及医疗数据明文访问，保障隐私安全。</w:t>
      </w:r>
    </w:p>
    <w:p w14:paraId="5BAD4A92">
      <w:pPr>
        <w:pStyle w:val="18"/>
        <w:keepNext w:val="0"/>
        <w:keepLines w:val="0"/>
        <w:pageBreakBefore w:val="0"/>
        <w:numPr>
          <w:ilvl w:val="0"/>
          <w:numId w:val="0"/>
        </w:numPr>
        <w:kinsoku/>
        <w:wordWrap/>
        <w:topLinePunct w:val="0"/>
        <w:bidi w:val="0"/>
        <w:snapToGrid/>
        <w:spacing w:before="0" w:beforeAutospacing="0" w:after="0" w:afterAutospacing="0" w:line="360" w:lineRule="auto"/>
        <w:ind w:right="0" w:righ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7、本项目中模块化机柜需采用预制化交付，现场安装周期不超过 90 天，减少对医院日常诊疗工作的干扰，施工过程需符合医院洁净环境要求，避免粉尘、噪音污染。</w:t>
      </w:r>
    </w:p>
    <w:p w14:paraId="72C9E67E">
      <w:pPr>
        <w:pStyle w:val="15"/>
        <w:keepNext w:val="0"/>
        <w:keepLines w:val="0"/>
        <w:pageBreakBefore w:val="0"/>
        <w:numPr>
          <w:ilvl w:val="0"/>
          <w:numId w:val="0"/>
        </w:numPr>
        <w:kinsoku/>
        <w:wordWrap/>
        <w:topLinePunct w:val="0"/>
        <w:bidi w:val="0"/>
        <w:snapToGrid/>
        <w:ind w:firstLine="640" w:firstLineChars="200"/>
        <w:rPr>
          <w:rFonts w:hint="default" w:eastAsia="仿宋_GB2312"/>
          <w:lang w:val="en-US" w:eastAsia="zh-CN"/>
        </w:rPr>
      </w:pPr>
      <w:r>
        <w:rPr>
          <w:rFonts w:hint="eastAsia"/>
          <w:lang w:val="en-US" w:eastAsia="zh-CN"/>
        </w:rPr>
        <w:t>8.本项目包含对原有数据中心机房服务器和核心网络设备搬迁服务。</w:t>
      </w:r>
    </w:p>
    <w:p w14:paraId="1D1C1F59">
      <w:pPr>
        <w:numPr>
          <w:ilvl w:val="0"/>
          <w:numId w:val="3"/>
        </w:num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调研说明</w:t>
      </w:r>
    </w:p>
    <w:p w14:paraId="73FCD2C0">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0D16983E">
      <w:pPr>
        <w:widowControl/>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r>
        <w:rPr>
          <w:rFonts w:hint="eastAsia" w:ascii="仿宋_GB2312" w:hAnsi="仿宋_GB2312" w:eastAsia="仿宋_GB2312" w:cs="仿宋_GB2312"/>
          <w:bCs/>
          <w:sz w:val="32"/>
          <w:szCs w:val="32"/>
          <w:shd w:val="clear" w:color="auto" w:fill="FFFFFF"/>
        </w:rPr>
        <w:t>提供</w:t>
      </w:r>
      <w:r>
        <w:rPr>
          <w:rFonts w:hint="eastAsia" w:ascii="仿宋_GB2312" w:hAnsi="仿宋_GB2312" w:eastAsia="仿宋_GB2312" w:cs="仿宋_GB2312"/>
          <w:bCs/>
          <w:sz w:val="32"/>
          <w:szCs w:val="32"/>
          <w:shd w:val="clear" w:color="auto" w:fill="FFFFFF"/>
          <w:lang w:val="en-US" w:eastAsia="zh-CN"/>
        </w:rPr>
        <w:t>相关</w:t>
      </w:r>
      <w:r>
        <w:rPr>
          <w:rFonts w:hint="eastAsia" w:ascii="仿宋_GB2312" w:hAnsi="仿宋_GB2312" w:eastAsia="仿宋_GB2312" w:cs="仿宋_GB2312"/>
          <w:bCs/>
          <w:sz w:val="32"/>
          <w:szCs w:val="32"/>
          <w:shd w:val="clear" w:color="auto" w:fill="FFFFFF"/>
        </w:rPr>
        <w:t>设备彩页、相关三证等）</w:t>
      </w:r>
      <w:r>
        <w:rPr>
          <w:rFonts w:hint="eastAsia" w:ascii="仿宋_GB2312" w:hAnsi="仿宋_GB2312" w:eastAsia="仿宋_GB2312" w:cs="仿宋_GB2312"/>
          <w:color w:val="000000"/>
          <w:kern w:val="0"/>
          <w:sz w:val="32"/>
          <w:szCs w:val="32"/>
        </w:rPr>
        <w:t>。</w:t>
      </w:r>
    </w:p>
    <w:p w14:paraId="7A41F6F8">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289EF4D">
      <w:pPr>
        <w:widowControl/>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58EB629C">
      <w:pPr>
        <w:pStyle w:val="15"/>
        <w:numPr>
          <w:ilvl w:val="0"/>
          <w:numId w:val="0"/>
        </w:numPr>
        <w:rPr>
          <w:shd w:val="clear" w:color="auto" w:fill="FFFFFF"/>
        </w:rPr>
      </w:pPr>
      <w:r>
        <w:rPr>
          <w:rFonts w:hint="eastAsia"/>
          <w:shd w:val="clear" w:color="auto" w:fill="FFFFFF"/>
        </w:rPr>
        <w:t>4、</w:t>
      </w:r>
      <w:r>
        <w:rPr>
          <w:rFonts w:hint="eastAsia"/>
          <w:color w:val="000000" w:themeColor="text1"/>
          <w:shd w:val="clear" w:color="auto" w:fill="FFFFFF"/>
          <w14:textFill>
            <w14:solidFill>
              <w14:schemeClr w14:val="tx1"/>
            </w14:solidFill>
          </w14:textFill>
        </w:rPr>
        <w:t>提供业绩清单及近3年省内同类项目中标书</w:t>
      </w:r>
    </w:p>
    <w:p w14:paraId="3EC9EB33">
      <w:pPr>
        <w:pStyle w:val="15"/>
        <w:numPr>
          <w:ilvl w:val="0"/>
          <w:numId w:val="0"/>
        </w:numPr>
        <w:rPr>
          <w:shd w:val="clear" w:color="auto" w:fill="FFFFFF"/>
        </w:rPr>
      </w:pPr>
      <w:r>
        <w:rPr>
          <w:rFonts w:hint="eastAsia"/>
          <w:shd w:val="clear" w:color="auto" w:fill="FFFFFF"/>
        </w:rPr>
        <w:t>5、本调研会的报价仅做为本项目公开招标的预算限价；不做参与投标的限制条件；</w:t>
      </w:r>
    </w:p>
    <w:p w14:paraId="5AB322AE">
      <w:pPr>
        <w:pStyle w:val="15"/>
        <w:numPr>
          <w:ilvl w:val="0"/>
          <w:numId w:val="0"/>
        </w:numPr>
        <w:rPr>
          <w:shd w:val="clear" w:color="auto" w:fill="FFFFFF"/>
        </w:rPr>
      </w:pPr>
      <w:r>
        <w:rPr>
          <w:rFonts w:hint="eastAsia"/>
          <w:shd w:val="clear" w:color="auto" w:fill="FFFFFF"/>
        </w:rPr>
        <w:t>6、上述各参数将做为本项目招标的主要参数，不代表本项目公开招标的最终参数；</w:t>
      </w:r>
    </w:p>
    <w:p w14:paraId="1FBA1A5A">
      <w:pPr>
        <w:pStyle w:val="15"/>
        <w:numPr>
          <w:ilvl w:val="0"/>
          <w:numId w:val="0"/>
        </w:numPr>
        <w:rPr>
          <w:rFonts w:hint="eastAsia"/>
          <w:shd w:val="clear" w:color="auto" w:fill="FFFFFF"/>
        </w:rPr>
      </w:pPr>
      <w:r>
        <w:rPr>
          <w:rFonts w:hint="eastAsia"/>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6A18113D">
      <w:pPr>
        <w:pStyle w:val="15"/>
      </w:pPr>
      <w:r>
        <w:rPr>
          <w:rFonts w:hint="eastAsia"/>
        </w:rPr>
        <w:br w:type="page"/>
      </w:r>
    </w:p>
    <w:p w14:paraId="74C334F2">
      <w:pPr>
        <w:shd w:val="solid" w:color="FFFFFF" w:fill="auto"/>
        <w:autoSpaceDN w:val="0"/>
        <w:spacing w:line="420" w:lineRule="atLeast"/>
        <w:jc w:val="center"/>
        <w:rPr>
          <w:rFonts w:ascii="仿宋_GB2312" w:hAnsi="仿宋_GB2312" w:eastAsia="仿宋_GB2312" w:cs="仿宋_GB2312"/>
          <w:b/>
          <w:color w:val="000000"/>
          <w:sz w:val="32"/>
          <w:szCs w:val="32"/>
          <w:shd w:val="clear" w:color="auto" w:fill="FFFFFF"/>
        </w:rPr>
      </w:pPr>
    </w:p>
    <w:p w14:paraId="5C9BA88D">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1254486A">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1"/>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71369C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0F2B65">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2F4F2EB">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E5B18FC">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F47FA24">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59435E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79B7093">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CCABD7">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B092ABB">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C6BB9BF">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14:paraId="538A50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7B8C495">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8A0488A">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0F8636">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EC2657">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14:paraId="4E2BC779">
      <w:pPr>
        <w:shd w:val="solid" w:color="FFFFFF" w:fill="auto"/>
        <w:autoSpaceDN w:val="0"/>
        <w:spacing w:line="420" w:lineRule="atLeast"/>
        <w:rPr>
          <w:rFonts w:ascii="仿宋_GB2312" w:hAnsi="仿宋_GB2312" w:eastAsia="仿宋_GB2312" w:cs="仿宋_GB2312"/>
          <w:bCs/>
          <w:sz w:val="32"/>
          <w:szCs w:val="32"/>
          <w:shd w:val="clear" w:color="auto" w:fill="FFFFFF"/>
        </w:rPr>
      </w:pPr>
    </w:p>
    <w:p w14:paraId="4655E479">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75903972">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19570AC3">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联系人：</w:t>
      </w:r>
    </w:p>
    <w:p w14:paraId="3CBF8E34">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76D22266">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4F59BBAD">
      <w:pPr>
        <w:shd w:val="solid" w:color="FFFFFF" w:fill="auto"/>
        <w:autoSpaceDN w:val="0"/>
        <w:spacing w:line="500" w:lineRule="exact"/>
        <w:rPr>
          <w:rFonts w:ascii="仿宋_GB2312" w:hAnsi="仿宋_GB2312" w:eastAsia="仿宋_GB2312" w:cs="仿宋_GB2312"/>
          <w:bCs/>
          <w:sz w:val="32"/>
          <w:szCs w:val="32"/>
          <w:shd w:val="clear" w:color="auto" w:fill="FFFFFF"/>
        </w:rPr>
      </w:pPr>
    </w:p>
    <w:p w14:paraId="1BBE5DC3">
      <w:pPr>
        <w:pStyle w:val="15"/>
        <w:numPr>
          <w:ilvl w:val="0"/>
          <w:numId w:val="0"/>
        </w:numPr>
        <w:rPr>
          <w:rFonts w:hint="eastAsia"/>
          <w:shd w:val="clear" w:color="auto" w:fill="FFFFFF"/>
        </w:rPr>
      </w:pPr>
    </w:p>
    <w:p w14:paraId="1AF82A65">
      <w:pPr>
        <w:pStyle w:val="15"/>
        <w:numPr>
          <w:ilvl w:val="0"/>
          <w:numId w:val="0"/>
        </w:numPr>
      </w:pPr>
      <w:r>
        <w:rPr>
          <w:rFonts w:hint="eastAsia"/>
        </w:rPr>
        <w:t xml:space="preserve">                                        福建省肿瘤医院</w:t>
      </w:r>
    </w:p>
    <w:p w14:paraId="2D302059">
      <w:pPr>
        <w:pStyle w:val="15"/>
        <w:numPr>
          <w:ilvl w:val="0"/>
          <w:numId w:val="0"/>
        </w:numPr>
      </w:pPr>
      <w:r>
        <w:rPr>
          <w:rFonts w:hint="eastAsia"/>
        </w:rPr>
        <w:t xml:space="preserve">                                           年  月  日</w:t>
      </w:r>
    </w:p>
    <w:bookmarkEnd w:id="0"/>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3DD1">
    <w:pPr>
      <w:pStyle w:val="7"/>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36F11E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36F11EF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45B35"/>
    <w:multiLevelType w:val="multilevel"/>
    <w:tmpl w:val="14C45B35"/>
    <w:lvl w:ilvl="0" w:tentative="0">
      <w:start w:val="1"/>
      <w:numFmt w:val="decimal"/>
      <w:pStyle w:val="15"/>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C536308"/>
    <w:multiLevelType w:val="multilevel"/>
    <w:tmpl w:val="4C536308"/>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7F5E91"/>
    <w:rsid w:val="00056FD3"/>
    <w:rsid w:val="00064CF7"/>
    <w:rsid w:val="000668D0"/>
    <w:rsid w:val="0006752C"/>
    <w:rsid w:val="00145059"/>
    <w:rsid w:val="001450F5"/>
    <w:rsid w:val="00151F0B"/>
    <w:rsid w:val="001C529E"/>
    <w:rsid w:val="00222D5E"/>
    <w:rsid w:val="00276A66"/>
    <w:rsid w:val="002E34EF"/>
    <w:rsid w:val="00304242"/>
    <w:rsid w:val="003344FC"/>
    <w:rsid w:val="003471EE"/>
    <w:rsid w:val="0037008D"/>
    <w:rsid w:val="003C6828"/>
    <w:rsid w:val="0041496F"/>
    <w:rsid w:val="004215C8"/>
    <w:rsid w:val="00443A94"/>
    <w:rsid w:val="00453B7D"/>
    <w:rsid w:val="0046074A"/>
    <w:rsid w:val="00475968"/>
    <w:rsid w:val="00477292"/>
    <w:rsid w:val="00495B0B"/>
    <w:rsid w:val="00495C79"/>
    <w:rsid w:val="004D66FE"/>
    <w:rsid w:val="004F229F"/>
    <w:rsid w:val="00552C87"/>
    <w:rsid w:val="00591F5D"/>
    <w:rsid w:val="005B4571"/>
    <w:rsid w:val="00614AF3"/>
    <w:rsid w:val="006349EF"/>
    <w:rsid w:val="00644982"/>
    <w:rsid w:val="00682E22"/>
    <w:rsid w:val="00687F93"/>
    <w:rsid w:val="006B2FCE"/>
    <w:rsid w:val="006C5F5C"/>
    <w:rsid w:val="006E5489"/>
    <w:rsid w:val="007065CD"/>
    <w:rsid w:val="00732792"/>
    <w:rsid w:val="00750EF9"/>
    <w:rsid w:val="00755478"/>
    <w:rsid w:val="007C1C5B"/>
    <w:rsid w:val="007D1A45"/>
    <w:rsid w:val="007F5E91"/>
    <w:rsid w:val="008315EE"/>
    <w:rsid w:val="00831908"/>
    <w:rsid w:val="008A3C60"/>
    <w:rsid w:val="00926A96"/>
    <w:rsid w:val="00953081"/>
    <w:rsid w:val="009546D8"/>
    <w:rsid w:val="009B7643"/>
    <w:rsid w:val="009C50DA"/>
    <w:rsid w:val="00A856E3"/>
    <w:rsid w:val="00A92D36"/>
    <w:rsid w:val="00A93842"/>
    <w:rsid w:val="00AE1E79"/>
    <w:rsid w:val="00AF60EB"/>
    <w:rsid w:val="00B1766D"/>
    <w:rsid w:val="00B64394"/>
    <w:rsid w:val="00BF5172"/>
    <w:rsid w:val="00BF7BAC"/>
    <w:rsid w:val="00C647B9"/>
    <w:rsid w:val="00C853A3"/>
    <w:rsid w:val="00D84BFC"/>
    <w:rsid w:val="00DB0365"/>
    <w:rsid w:val="00DE7B40"/>
    <w:rsid w:val="00E71FBE"/>
    <w:rsid w:val="00EC5704"/>
    <w:rsid w:val="00ED5137"/>
    <w:rsid w:val="00EE3263"/>
    <w:rsid w:val="00FB3EE7"/>
    <w:rsid w:val="00FD162F"/>
    <w:rsid w:val="015147B1"/>
    <w:rsid w:val="028866AD"/>
    <w:rsid w:val="060E0879"/>
    <w:rsid w:val="072B1ACF"/>
    <w:rsid w:val="09BD6B8A"/>
    <w:rsid w:val="0FED7751"/>
    <w:rsid w:val="167334FD"/>
    <w:rsid w:val="1EFB2F7A"/>
    <w:rsid w:val="2580275F"/>
    <w:rsid w:val="2A1D36D9"/>
    <w:rsid w:val="379A19A6"/>
    <w:rsid w:val="3BE13D5E"/>
    <w:rsid w:val="3D145A6E"/>
    <w:rsid w:val="3DEC20E9"/>
    <w:rsid w:val="43420014"/>
    <w:rsid w:val="4CDF8747"/>
    <w:rsid w:val="4EEA5B05"/>
    <w:rsid w:val="520420FD"/>
    <w:rsid w:val="5272003F"/>
    <w:rsid w:val="533F7A58"/>
    <w:rsid w:val="53637E9A"/>
    <w:rsid w:val="5E6D4CD6"/>
    <w:rsid w:val="6522418B"/>
    <w:rsid w:val="72BC0D51"/>
    <w:rsid w:val="7EFDE5E4"/>
    <w:rsid w:val="9FF5B466"/>
    <w:rsid w:val="BFEFF203"/>
    <w:rsid w:val="DEF97A51"/>
    <w:rsid w:val="FFF7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仿宋_GB2312" w:eastAsia="仿宋_GB2312"/>
      <w:sz w:val="32"/>
    </w:rPr>
  </w:style>
  <w:style w:type="paragraph" w:customStyle="1" w:styleId="3">
    <w:name w:val="引用1"/>
    <w:basedOn w:val="1"/>
    <w:next w:val="1"/>
    <w:qFormat/>
    <w:uiPriority w:val="29"/>
    <w:pPr>
      <w:spacing w:beforeLines="50" w:afterLines="50" w:line="360" w:lineRule="auto"/>
    </w:pPr>
    <w:rPr>
      <w:i/>
      <w:iCs/>
      <w:color w:val="000000"/>
      <w:lang w:val="zh-CN"/>
    </w:rPr>
  </w:style>
  <w:style w:type="paragraph" w:styleId="6">
    <w:name w:val="annotation text"/>
    <w:basedOn w:val="1"/>
    <w:link w:val="20"/>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paragraph" w:styleId="10">
    <w:name w:val="annotation subject"/>
    <w:basedOn w:val="6"/>
    <w:next w:val="6"/>
    <w:link w:val="21"/>
    <w:qFormat/>
    <w:uiPriority w:val="0"/>
    <w:rPr>
      <w:b/>
      <w:bCs/>
    </w:rPr>
  </w:style>
  <w:style w:type="character" w:styleId="13">
    <w:name w:val="Strong"/>
    <w:qFormat/>
    <w:uiPriority w:val="0"/>
    <w:rPr>
      <w:b/>
    </w:rPr>
  </w:style>
  <w:style w:type="character" w:styleId="14">
    <w:name w:val="annotation reference"/>
    <w:basedOn w:val="12"/>
    <w:qFormat/>
    <w:uiPriority w:val="0"/>
    <w:rPr>
      <w:sz w:val="21"/>
      <w:szCs w:val="21"/>
    </w:rPr>
  </w:style>
  <w:style w:type="paragraph" w:customStyle="1" w:styleId="15">
    <w:name w:val="Fließtext"/>
    <w:basedOn w:val="1"/>
    <w:qFormat/>
    <w:uiPriority w:val="0"/>
    <w:pPr>
      <w:numPr>
        <w:ilvl w:val="0"/>
        <w:numId w:val="1"/>
      </w:numPr>
      <w:overflowPunct w:val="0"/>
      <w:autoSpaceDE w:val="0"/>
      <w:autoSpaceDN w:val="0"/>
      <w:adjustRightInd w:val="0"/>
      <w:textAlignment w:val="baseline"/>
    </w:pPr>
    <w:rPr>
      <w:rFonts w:ascii="仿宋_GB2312" w:hAnsi="仿宋_GB2312" w:eastAsia="仿宋_GB2312" w:cs="仿宋_GB2312"/>
      <w:kern w:val="0"/>
      <w:sz w:val="32"/>
      <w:szCs w:val="32"/>
    </w:rPr>
  </w:style>
  <w:style w:type="paragraph" w:customStyle="1" w:styleId="16">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7">
    <w:name w:val="列表段落1"/>
    <w:basedOn w:val="1"/>
    <w:qFormat/>
    <w:uiPriority w:val="34"/>
    <w:pPr>
      <w:ind w:firstLine="420" w:firstLineChars="200"/>
    </w:p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paragraph" w:styleId="19">
    <w:name w:val="List Paragraph"/>
    <w:basedOn w:val="1"/>
    <w:qFormat/>
    <w:uiPriority w:val="34"/>
    <w:pPr>
      <w:widowControl/>
      <w:spacing w:line="360" w:lineRule="auto"/>
      <w:ind w:firstLine="420" w:firstLineChars="200"/>
      <w:jc w:val="left"/>
    </w:pPr>
    <w:rPr>
      <w:rFonts w:ascii="Times New Roman" w:hAnsi="Times New Roman" w:cstheme="minorBidi"/>
      <w:sz w:val="24"/>
    </w:rPr>
  </w:style>
  <w:style w:type="character" w:customStyle="1" w:styleId="20">
    <w:name w:val="批注文字 字符"/>
    <w:basedOn w:val="12"/>
    <w:link w:val="6"/>
    <w:qFormat/>
    <w:uiPriority w:val="0"/>
    <w:rPr>
      <w:rFonts w:ascii="Calibri" w:hAnsi="Calibri" w:cs="黑体"/>
      <w:kern w:val="2"/>
      <w:sz w:val="21"/>
      <w:szCs w:val="24"/>
    </w:rPr>
  </w:style>
  <w:style w:type="character" w:customStyle="1" w:styleId="21">
    <w:name w:val="批注主题 字符"/>
    <w:basedOn w:val="20"/>
    <w:link w:val="10"/>
    <w:qFormat/>
    <w:uiPriority w:val="0"/>
    <w:rPr>
      <w:rFonts w:ascii="Calibri" w:hAnsi="Calibri" w:cs="黑体"/>
      <w:b/>
      <w:bCs/>
      <w:kern w:val="2"/>
      <w:sz w:val="21"/>
      <w:szCs w:val="24"/>
    </w:rPr>
  </w:style>
  <w:style w:type="character" w:customStyle="1" w:styleId="22">
    <w:name w:val="页眉 字符"/>
    <w:basedOn w:val="12"/>
    <w:link w:val="8"/>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1976</Words>
  <Characters>2190</Characters>
  <Lines>73</Lines>
  <Paragraphs>92</Paragraphs>
  <TotalTime>1</TotalTime>
  <ScaleCrop>false</ScaleCrop>
  <LinksUpToDate>false</LinksUpToDate>
  <CharactersWithSpaces>2328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2023-05-30T14:42:00Z</dcterms:created>
  <dc:creator>Admin</dc:creator>
  <cp:lastModifiedBy>网络办</cp:lastModifiedBy>
  <cp:lastPrinted>2023-06-20T15:45:00Z</cp:lastPrinted>
  <dcterms:modified xsi:type="dcterms:W3CDTF">2025-12-30T08:06:11Z</dcterms:modified>
  <dc:title>设备科：</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620BE933B22D45C9B5535BC8E7AEBA75_13</vt:lpwstr>
  </property>
  <property fmtid="{D5CDD505-2E9C-101B-9397-08002B2CF9AE}" pid="4" name="KSOTemplateDocerSaveRecord">
    <vt:lpwstr>eyJoZGlkIjoiMzcyYzQ4MzExOWIxM2ZmZWE3MDIzNjczNzVlZjFmOWYiLCJ1c2VySWQiOiIxNzAwODQwNTc2In0=</vt:lpwstr>
  </property>
</Properties>
</file>