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738A">
      <w:pPr>
        <w:pStyle w:val="18"/>
        <w:spacing w:before="75" w:beforeAutospacing="0" w:after="75" w:afterAutospacing="0"/>
        <w:jc w:val="center"/>
        <w:rPr>
          <w:rFonts w:hint="eastAsia" w:cs="宋体" w:asciiTheme="minorEastAsia" w:hAnsiTheme="minorEastAsia" w:eastAsiaTheme="minorEastAsia"/>
          <w:b/>
          <w:bCs/>
          <w:sz w:val="32"/>
          <w:szCs w:val="32"/>
        </w:rPr>
      </w:pPr>
    </w:p>
    <w:p w14:paraId="3B9D53B1">
      <w:pPr>
        <w:adjustRightInd/>
        <w:snapToGrid/>
        <w:spacing w:after="0" w:line="480" w:lineRule="atLeast"/>
        <w:jc w:val="center"/>
        <w:rPr>
          <w:rFonts w:hint="eastAsia" w:cs="宋体" w:asciiTheme="minorEastAsia" w:hAnsiTheme="minorEastAsia" w:eastAsiaTheme="minorEastAsia"/>
          <w:b/>
          <w:bCs/>
          <w:color w:val="404040"/>
          <w:sz w:val="32"/>
          <w:szCs w:val="32"/>
        </w:rPr>
      </w:pPr>
      <w:bookmarkStart w:id="0" w:name="_Hlk181695900"/>
      <w:bookmarkStart w:id="1" w:name="_Hlk181628789"/>
      <w:r>
        <w:rPr>
          <w:rFonts w:cs="宋体" w:asciiTheme="minorEastAsia" w:hAnsiTheme="minorEastAsia" w:eastAsiaTheme="minorEastAsia"/>
          <w:b/>
          <w:bCs/>
          <w:color w:val="404040"/>
          <w:sz w:val="32"/>
          <w:szCs w:val="32"/>
        </w:rPr>
        <w:t>福建省肿瘤医院</w:t>
      </w:r>
      <w:r>
        <w:rPr>
          <w:rFonts w:hint="eastAsia" w:cs="宋体" w:asciiTheme="minorEastAsia" w:hAnsiTheme="minorEastAsia" w:eastAsiaTheme="minorEastAsia"/>
          <w:b/>
          <w:bCs/>
          <w:color w:val="404040"/>
          <w:sz w:val="32"/>
          <w:szCs w:val="32"/>
        </w:rPr>
        <w:t>护理护工服务遴选</w:t>
      </w:r>
    </w:p>
    <w:bookmarkEnd w:id="0"/>
    <w:p w14:paraId="1DA08FFC">
      <w:pPr>
        <w:adjustRightInd/>
        <w:snapToGrid/>
        <w:spacing w:after="0" w:line="480" w:lineRule="atLeast"/>
        <w:jc w:val="center"/>
        <w:rPr>
          <w:rFonts w:hint="eastAsia" w:cs="宋体" w:asciiTheme="minorEastAsia" w:hAnsiTheme="minorEastAsia" w:eastAsiaTheme="minorEastAsia"/>
          <w:b/>
          <w:bCs/>
          <w:color w:val="404040"/>
          <w:sz w:val="32"/>
          <w:szCs w:val="32"/>
        </w:rPr>
      </w:pPr>
      <w:r>
        <w:rPr>
          <w:rFonts w:hint="eastAsia" w:cs="宋体" w:asciiTheme="minorEastAsia" w:hAnsiTheme="minorEastAsia" w:eastAsiaTheme="minorEastAsia"/>
          <w:b/>
          <w:bCs/>
          <w:color w:val="404040"/>
          <w:sz w:val="32"/>
          <w:szCs w:val="32"/>
        </w:rPr>
        <w:t>项目</w:t>
      </w:r>
      <w:bookmarkEnd w:id="1"/>
      <w:r>
        <w:rPr>
          <w:rFonts w:hint="eastAsia" w:cs="宋体" w:asciiTheme="minorEastAsia" w:hAnsiTheme="minorEastAsia" w:eastAsiaTheme="minorEastAsia"/>
          <w:b/>
          <w:bCs/>
          <w:color w:val="404040"/>
          <w:sz w:val="32"/>
          <w:szCs w:val="32"/>
        </w:rPr>
        <w:t>招标公告</w:t>
      </w:r>
    </w:p>
    <w:p w14:paraId="33C0727E">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一、招标项目概况和范围</w:t>
      </w:r>
    </w:p>
    <w:p w14:paraId="78F50B3C">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项目名称：福建省肿瘤医院护理护工服务遴选项目</w:t>
      </w:r>
    </w:p>
    <w:p w14:paraId="6BBCF73A">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项目地点：福马路420号。</w:t>
      </w:r>
    </w:p>
    <w:p w14:paraId="4B6564C8">
      <w:pPr>
        <w:pStyle w:val="36"/>
        <w:numPr>
          <w:ilvl w:val="0"/>
          <w:numId w:val="1"/>
        </w:numPr>
        <w:adjustRightInd/>
        <w:snapToGrid/>
        <w:spacing w:after="0" w:line="480" w:lineRule="atLeast"/>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招标范围和内容：见附件。</w:t>
      </w:r>
    </w:p>
    <w:p w14:paraId="7C21C0A3">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二、投标人资格要求及审查办法</w:t>
      </w:r>
    </w:p>
    <w:p w14:paraId="35E81E9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满足《中华人民共和国政府采购法》第二十二条规定。</w:t>
      </w:r>
    </w:p>
    <w:p w14:paraId="24EA0D3A">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落实政府采购政策需满足的资格要求。</w:t>
      </w:r>
    </w:p>
    <w:p w14:paraId="420A2E68">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委托代表人资格证明书（附法人及委托人身份证）。</w:t>
      </w:r>
    </w:p>
    <w:p w14:paraId="20A993BD">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投标人须具有有效的《劳务派遣经营许可证》</w:t>
      </w:r>
      <w:r>
        <w:rPr>
          <w:rFonts w:hint="eastAsia" w:cs="宋体" w:asciiTheme="minorEastAsia" w:hAnsiTheme="minorEastAsia" w:eastAsiaTheme="minorEastAsia"/>
          <w:color w:val="FF0000"/>
          <w:sz w:val="26"/>
          <w:szCs w:val="26"/>
          <w:lang w:eastAsia="zh-CN"/>
        </w:rPr>
        <w:t>。</w:t>
      </w:r>
    </w:p>
    <w:p w14:paraId="673E7AD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财务状况报告（最近一个年度经审计的财务报告或资信证明或投标担保函）</w:t>
      </w:r>
      <w:r>
        <w:rPr>
          <w:rFonts w:hint="eastAsia" w:cs="宋体" w:asciiTheme="minorEastAsia" w:hAnsiTheme="minorEastAsia" w:eastAsiaTheme="minorEastAsia"/>
          <w:color w:val="FF0000"/>
          <w:sz w:val="26"/>
          <w:szCs w:val="26"/>
          <w:lang w:eastAsia="zh-CN"/>
        </w:rPr>
        <w:t>。</w:t>
      </w:r>
    </w:p>
    <w:p w14:paraId="5AED2D32">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参加本次活动前三年内，在经营活动中没有重大违法违规记录的承诺。</w:t>
      </w:r>
    </w:p>
    <w:p w14:paraId="6A970FD7">
      <w:pPr>
        <w:numPr>
          <w:ilvl w:val="0"/>
          <w:numId w:val="2"/>
        </w:numPr>
        <w:adjustRightInd/>
        <w:snapToGrid/>
        <w:spacing w:before="150" w:after="0" w:line="480" w:lineRule="atLeast"/>
        <w:jc w:val="both"/>
        <w:rPr>
          <w:rFonts w:hint="eastAsia" w:asciiTheme="minorEastAsia" w:hAnsiTheme="minorEastAsia" w:eastAsiaTheme="minorEastAsia"/>
        </w:rPr>
      </w:pPr>
      <w:r>
        <w:rPr>
          <w:rFonts w:hint="eastAsia" w:cs="宋体" w:asciiTheme="minorEastAsia" w:hAnsiTheme="minorEastAsia" w:eastAsiaTheme="minorEastAsia"/>
          <w:color w:val="404040"/>
          <w:sz w:val="26"/>
          <w:szCs w:val="26"/>
        </w:rPr>
        <w:t>具备履行合同所必需设备和专业技术能力的声明函</w:t>
      </w:r>
      <w:r>
        <w:rPr>
          <w:rFonts w:hint="eastAsia" w:cs="宋体" w:asciiTheme="minorEastAsia" w:hAnsiTheme="minorEastAsia" w:eastAsiaTheme="minorEastAsia"/>
          <w:color w:val="FF0000"/>
          <w:sz w:val="26"/>
          <w:szCs w:val="26"/>
          <w:lang w:eastAsia="zh-CN"/>
        </w:rPr>
        <w:t>。</w:t>
      </w:r>
    </w:p>
    <w:p w14:paraId="57EBACF5">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资格审查采用方式：资格后审。</w:t>
      </w:r>
    </w:p>
    <w:p w14:paraId="07570C06">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本招标项目不接受联合体投标，不接受备选投标方案，不允许分包。</w:t>
      </w:r>
    </w:p>
    <w:p w14:paraId="3174ED90">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投标人应通过“信用中国（</w:t>
      </w:r>
      <w:r>
        <w:fldChar w:fldCharType="begin"/>
      </w:r>
      <w:r>
        <w:instrText xml:space="preserve"> HYPERLINK "http://www.creditchina.gov.cn/" </w:instrText>
      </w:r>
      <w:r>
        <w:fldChar w:fldCharType="separate"/>
      </w:r>
      <w:r>
        <w:rPr>
          <w:rStyle w:val="22"/>
          <w:rFonts w:hint="eastAsia" w:cs="宋体" w:asciiTheme="minorEastAsia" w:hAnsiTheme="minorEastAsia" w:eastAsiaTheme="minorEastAsia"/>
          <w:sz w:val="26"/>
          <w:szCs w:val="26"/>
        </w:rPr>
        <w:t>www.creditchina.gov.cn</w:t>
      </w:r>
      <w:r>
        <w:rPr>
          <w:rStyle w:val="22"/>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)”、“中国政府采购网(</w:t>
      </w:r>
      <w:r>
        <w:fldChar w:fldCharType="begin"/>
      </w:r>
      <w:r>
        <w:instrText xml:space="preserve"> HYPERLINK "http://www.ccgp.gov.cn" </w:instrText>
      </w:r>
      <w:r>
        <w:fldChar w:fldCharType="separate"/>
      </w:r>
      <w:r>
        <w:rPr>
          <w:rStyle w:val="22"/>
          <w:rFonts w:hint="eastAsia" w:cs="宋体" w:asciiTheme="minorEastAsia" w:hAnsiTheme="minorEastAsia" w:eastAsiaTheme="minorEastAsia"/>
          <w:sz w:val="26"/>
          <w:szCs w:val="26"/>
        </w:rPr>
        <w:t>www.ccgp.gov.cn</w:t>
      </w:r>
      <w:r>
        <w:rPr>
          <w:rStyle w:val="22"/>
          <w:rFonts w:hint="eastAsia" w:cs="宋体" w:asciiTheme="minorEastAsia" w:hAnsiTheme="minorEastAsia" w:eastAsiaTheme="minorEastAsia"/>
          <w:sz w:val="26"/>
          <w:szCs w:val="26"/>
        </w:rPr>
        <w:fldChar w:fldCharType="end"/>
      </w:r>
      <w:r>
        <w:rPr>
          <w:rFonts w:hint="eastAsia" w:cs="宋体" w:asciiTheme="minorEastAsia" w:hAnsiTheme="minorEastAsia" w:eastAsiaTheme="minorEastAsia"/>
          <w:color w:val="404040"/>
          <w:sz w:val="26"/>
          <w:szCs w:val="26"/>
        </w:rPr>
        <w:t>)”查询并打印相应的信用记录。</w:t>
      </w:r>
    </w:p>
    <w:p w14:paraId="6DCA8DAB">
      <w:pPr>
        <w:numPr>
          <w:ilvl w:val="0"/>
          <w:numId w:val="2"/>
        </w:num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0EA9C998">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上述提供材料均须加盖公章。</w:t>
      </w:r>
    </w:p>
    <w:p w14:paraId="6F81DF73">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22A7720F">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三、招标文件的获取</w:t>
      </w:r>
    </w:p>
    <w:p w14:paraId="0CCF78E0">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1、本招标项目不采用电子招投标。</w:t>
      </w:r>
    </w:p>
    <w:p w14:paraId="0E5CF189">
      <w:pPr>
        <w:adjustRightInd/>
        <w:snapToGrid/>
        <w:spacing w:before="150" w:after="0" w:line="480" w:lineRule="atLeast"/>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2、凡有意参加投标者，均可在福建省肿瘤医院官网（</w:t>
      </w:r>
      <w:r>
        <w:rPr>
          <w:rFonts w:cs="宋体" w:asciiTheme="minorEastAsia" w:hAnsiTheme="minorEastAsia" w:eastAsiaTheme="minorEastAsia"/>
          <w:color w:val="404040"/>
          <w:sz w:val="26"/>
          <w:szCs w:val="26"/>
        </w:rPr>
        <w:t>https://www.fjzl.com.cn</w:t>
      </w:r>
      <w:r>
        <w:rPr>
          <w:rFonts w:hint="eastAsia" w:cs="宋体" w:asciiTheme="minorEastAsia" w:hAnsiTheme="minorEastAsia" w:eastAsiaTheme="minorEastAsia"/>
          <w:color w:val="404040"/>
          <w:sz w:val="26"/>
          <w:szCs w:val="26"/>
        </w:rPr>
        <w:t>）下载与本项目相关的招标信息（包括招标文件、招标文件补充说明等），并于202</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日至202</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 xml:space="preserve"> 18</w:t>
      </w:r>
      <w:r>
        <w:rPr>
          <w:rFonts w:hint="eastAsia" w:cs="宋体" w:asciiTheme="minorEastAsia" w:hAnsiTheme="minorEastAsia" w:eastAsiaTheme="minorEastAsia"/>
          <w:color w:val="404040"/>
          <w:sz w:val="26"/>
          <w:szCs w:val="26"/>
        </w:rPr>
        <w:t>日(节假日除外)8：00-12：00或14：</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0-17：</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0，携带加盖公章的营业执照复印件、介绍信前往福建省肿瘤医院总务科报名。</w:t>
      </w:r>
    </w:p>
    <w:p w14:paraId="1EAAC52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项目联系人：陈女士      联系电话：0591-62752801</w:t>
      </w:r>
    </w:p>
    <w:p w14:paraId="185B0FDD">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四、答疑截止时间</w:t>
      </w:r>
    </w:p>
    <w:p w14:paraId="787C53D2">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投标人若要求澄清招标文件，应在获取招标文件截止时间后的2个工作日内提出，招标人将随时解答。</w:t>
      </w:r>
    </w:p>
    <w:p w14:paraId="54A88484">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五、投标文件的要求及递交</w:t>
      </w:r>
    </w:p>
    <w:p w14:paraId="5FF0A513">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1、投标文件正本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w:t>
      </w:r>
      <w:r>
        <w:rPr>
          <w:rFonts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rPr>
        <w:t>副本</w:t>
      </w:r>
      <w:r>
        <w:rPr>
          <w:rFonts w:hint="eastAsia" w:cs="宋体" w:asciiTheme="minorEastAsia" w:hAnsiTheme="minorEastAsia" w:eastAsiaTheme="minorEastAsia"/>
          <w:bCs/>
          <w:color w:val="404040"/>
          <w:sz w:val="26"/>
          <w:szCs w:val="26"/>
          <w:u w:val="single"/>
        </w:rPr>
        <w:t>壹</w:t>
      </w:r>
      <w:r>
        <w:rPr>
          <w:rFonts w:hint="eastAsia" w:cs="宋体" w:asciiTheme="minorEastAsia" w:hAnsiTheme="minorEastAsia" w:eastAsiaTheme="minorEastAsia"/>
          <w:color w:val="404040"/>
          <w:sz w:val="26"/>
          <w:szCs w:val="26"/>
        </w:rPr>
        <w:t>份胶装并密封加盖投标人公章。投标文件未胶装密封将导致其投标文件被拒绝。</w:t>
      </w:r>
    </w:p>
    <w:p w14:paraId="2DF9C409">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2、投标文件递交的截止时间：202</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19</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0，提交地点为福建省肿瘤医院总务科，未送达指定地点或逾期送达者拒收。</w:t>
      </w:r>
    </w:p>
    <w:p w14:paraId="61E269F4">
      <w:pPr>
        <w:adjustRightInd/>
        <w:snapToGrid/>
        <w:spacing w:before="150" w:after="0" w:line="480" w:lineRule="atLeast"/>
        <w:jc w:val="both"/>
        <w:rPr>
          <w:rFonts w:hint="eastAsia" w:cs="宋体" w:asciiTheme="minorEastAsia" w:hAnsiTheme="minorEastAsia" w:eastAsiaTheme="minorEastAsia"/>
          <w:b/>
          <w:bCs/>
          <w:color w:val="404040"/>
          <w:sz w:val="26"/>
        </w:rPr>
      </w:pPr>
      <w:r>
        <w:rPr>
          <w:rFonts w:hint="eastAsia" w:cs="宋体" w:asciiTheme="minorEastAsia" w:hAnsiTheme="minorEastAsia" w:eastAsiaTheme="minorEastAsia"/>
          <w:b/>
          <w:bCs/>
          <w:color w:val="404040"/>
          <w:sz w:val="26"/>
        </w:rPr>
        <w:t>六、开标评标时间地点</w:t>
      </w:r>
    </w:p>
    <w:p w14:paraId="4607A9EE">
      <w:pPr>
        <w:adjustRightInd/>
        <w:snapToGrid/>
        <w:spacing w:before="150" w:after="0" w:line="480" w:lineRule="atLeast"/>
        <w:ind w:firstLine="390" w:firstLineChars="15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1、开标时间：202</w:t>
      </w:r>
      <w:r>
        <w:rPr>
          <w:rFonts w:hint="eastAsia" w:cs="宋体" w:asciiTheme="minorEastAsia" w:hAnsiTheme="minorEastAsia" w:eastAsiaTheme="minorEastAsia"/>
          <w:color w:val="404040"/>
          <w:sz w:val="26"/>
          <w:szCs w:val="26"/>
          <w:lang w:val="en-US" w:eastAsia="zh-CN"/>
        </w:rPr>
        <w:t>5</w:t>
      </w:r>
      <w:r>
        <w:rPr>
          <w:rFonts w:hint="eastAsia" w:cs="宋体" w:asciiTheme="minorEastAsia" w:hAnsiTheme="minorEastAsia" w:eastAsiaTheme="minorEastAsia"/>
          <w:color w:val="404040"/>
          <w:sz w:val="26"/>
          <w:szCs w:val="26"/>
        </w:rPr>
        <w:t>年</w:t>
      </w:r>
      <w:r>
        <w:rPr>
          <w:rFonts w:hint="eastAsia" w:cs="宋体" w:asciiTheme="minorEastAsia" w:hAnsiTheme="minorEastAsia" w:eastAsiaTheme="minorEastAsia"/>
          <w:color w:val="404040"/>
          <w:sz w:val="26"/>
          <w:szCs w:val="26"/>
          <w:lang w:val="en-US" w:eastAsia="zh-CN"/>
        </w:rPr>
        <w:t>12</w:t>
      </w:r>
      <w:r>
        <w:rPr>
          <w:rFonts w:hint="eastAsia" w:cs="宋体" w:asciiTheme="minorEastAsia" w:hAnsiTheme="minorEastAsia" w:eastAsiaTheme="minorEastAsia"/>
          <w:color w:val="404040"/>
          <w:sz w:val="26"/>
          <w:szCs w:val="26"/>
        </w:rPr>
        <w:t>月</w:t>
      </w:r>
      <w:r>
        <w:rPr>
          <w:rFonts w:hint="eastAsia" w:cs="宋体" w:asciiTheme="minorEastAsia" w:hAnsiTheme="minorEastAsia" w:eastAsiaTheme="minorEastAsia"/>
          <w:color w:val="404040"/>
          <w:sz w:val="26"/>
          <w:szCs w:val="26"/>
          <w:lang w:val="en-US" w:eastAsia="zh-CN"/>
        </w:rPr>
        <w:t>19</w:t>
      </w:r>
      <w:r>
        <w:rPr>
          <w:rFonts w:hint="eastAsia" w:cs="宋体" w:asciiTheme="minorEastAsia" w:hAnsiTheme="minorEastAsia" w:eastAsiaTheme="minorEastAsia"/>
          <w:color w:val="404040"/>
          <w:sz w:val="26"/>
          <w:szCs w:val="26"/>
        </w:rPr>
        <w:t>日</w:t>
      </w:r>
      <w:r>
        <w:rPr>
          <w:rFonts w:hint="eastAsia" w:cs="宋体" w:asciiTheme="minorEastAsia" w:hAnsiTheme="minorEastAsia" w:eastAsiaTheme="minorEastAsia"/>
          <w:color w:val="404040"/>
          <w:sz w:val="26"/>
          <w:szCs w:val="26"/>
          <w:lang w:val="en-US" w:eastAsia="zh-CN"/>
        </w:rPr>
        <w:t>09</w:t>
      </w:r>
      <w:r>
        <w:rPr>
          <w:rFonts w:hint="eastAsia" w:cs="宋体" w:asciiTheme="minorEastAsia" w:hAnsiTheme="minorEastAsia" w:eastAsiaTheme="minorEastAsia"/>
          <w:color w:val="404040"/>
          <w:sz w:val="26"/>
          <w:szCs w:val="26"/>
        </w:rPr>
        <w:t>:</w:t>
      </w:r>
      <w:r>
        <w:rPr>
          <w:rFonts w:hint="eastAsia" w:cs="宋体" w:asciiTheme="minorEastAsia" w:hAnsiTheme="minorEastAsia" w:eastAsiaTheme="minorEastAsia"/>
          <w:color w:val="404040"/>
          <w:sz w:val="26"/>
          <w:szCs w:val="26"/>
          <w:lang w:val="en-US" w:eastAsia="zh-CN"/>
        </w:rPr>
        <w:t>0</w:t>
      </w:r>
      <w:r>
        <w:rPr>
          <w:rFonts w:hint="eastAsia" w:cs="宋体" w:asciiTheme="minorEastAsia" w:hAnsiTheme="minorEastAsia" w:eastAsiaTheme="minorEastAsia"/>
          <w:color w:val="404040"/>
          <w:sz w:val="26"/>
          <w:szCs w:val="26"/>
        </w:rPr>
        <w:t>0时</w:t>
      </w:r>
      <w:bookmarkStart w:id="36" w:name="_GoBack"/>
      <w:bookmarkEnd w:id="36"/>
    </w:p>
    <w:p w14:paraId="2F0EE5B4">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2、评标时间：开标后即开始评标。</w:t>
      </w:r>
    </w:p>
    <w:p w14:paraId="698F06DA">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3、地点：福建省肿瘤医院科研楼一楼总务科</w:t>
      </w:r>
    </w:p>
    <w:p w14:paraId="2F06B895">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w:t>
      </w:r>
    </w:p>
    <w:p w14:paraId="2FE3E85F">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1.未参加报名的潜在投标人，其投标文件将被拒绝。</w:t>
      </w:r>
    </w:p>
    <w:p w14:paraId="55565FD9">
      <w:pPr>
        <w:spacing w:before="150" w:line="560" w:lineRule="exact"/>
        <w:ind w:firstLine="520" w:firstLineChars="20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2.若有涉及招标文件内容更正，请各潜在投标人密切关注福建省肿瘤医院官网通知，以最新公告为准。</w:t>
      </w:r>
    </w:p>
    <w:p w14:paraId="6DA7F1C7">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八、评标原则及办法</w:t>
      </w:r>
    </w:p>
    <w:p w14:paraId="5EF35959">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1、评标活动遵循公平、公正、科学和择优的原则。</w:t>
      </w:r>
    </w:p>
    <w:p w14:paraId="38B7A77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2、评标方法：</w:t>
      </w:r>
      <w:r>
        <w:rPr>
          <w:rFonts w:hint="eastAsia" w:cs="宋体" w:asciiTheme="minorEastAsia" w:hAnsiTheme="minorEastAsia" w:eastAsiaTheme="minorEastAsia"/>
          <w:color w:val="404040"/>
          <w:sz w:val="26"/>
          <w:szCs w:val="26"/>
          <w:highlight w:val="none"/>
        </w:rPr>
        <w:t>综合评分。</w:t>
      </w:r>
    </w:p>
    <w:p w14:paraId="78A13F6C">
      <w:pPr>
        <w:adjustRightInd/>
        <w:snapToGrid/>
        <w:spacing w:before="150" w:after="0" w:line="480" w:lineRule="atLeast"/>
        <w:ind w:firstLine="520" w:firstLineChars="20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3、投标人之间有相互串通投标、弄虚作假等违规行为者，将作废标处理，并在我院未来的项目招标中被拒绝接受投标。</w:t>
      </w:r>
    </w:p>
    <w:p w14:paraId="5D0B0A58">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九、合同条款内容及签订</w:t>
      </w:r>
    </w:p>
    <w:p w14:paraId="0B98B268">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1、合同专用条款内容依照国家规范文本，合同通用条款内容解释依照国家规</w:t>
      </w:r>
      <w:r>
        <w:rPr>
          <w:rFonts w:hint="eastAsia" w:cs="宋体" w:asciiTheme="minorEastAsia" w:hAnsiTheme="minorEastAsia" w:eastAsiaTheme="minorEastAsia"/>
          <w:color w:val="404040"/>
          <w:sz w:val="28"/>
          <w:szCs w:val="28"/>
        </w:rPr>
        <w:t>范文本。</w:t>
      </w:r>
    </w:p>
    <w:p w14:paraId="7C00EA7D">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2、合同签订：中标人在接到中标通知后3天内，应派代表与招标人联系，商讨签订合同事宜。</w:t>
      </w:r>
    </w:p>
    <w:p w14:paraId="15C5C40A">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十、其他未详尽事宜</w:t>
      </w:r>
    </w:p>
    <w:p w14:paraId="5EFE714C">
      <w:pPr>
        <w:adjustRightInd/>
        <w:snapToGrid/>
        <w:spacing w:before="150" w:after="0" w:line="480" w:lineRule="atLeast"/>
        <w:ind w:firstLine="480"/>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color w:val="404040"/>
          <w:sz w:val="26"/>
          <w:szCs w:val="26"/>
        </w:rPr>
        <w:t>依照国家政府采购和招投标有关规定。</w:t>
      </w:r>
    </w:p>
    <w:p w14:paraId="624D5D41">
      <w:pPr>
        <w:adjustRightInd/>
        <w:snapToGrid/>
        <w:spacing w:before="150" w:after="0" w:line="480" w:lineRule="atLeast"/>
        <w:jc w:val="both"/>
        <w:rPr>
          <w:rFonts w:hint="eastAsia" w:cs="宋体" w:asciiTheme="minorEastAsia" w:hAnsiTheme="minorEastAsia" w:eastAsiaTheme="minorEastAsia"/>
          <w:color w:val="404040"/>
          <w:sz w:val="28"/>
          <w:szCs w:val="28"/>
        </w:rPr>
      </w:pPr>
      <w:r>
        <w:rPr>
          <w:rFonts w:hint="eastAsia" w:cs="宋体" w:asciiTheme="minorEastAsia" w:hAnsiTheme="minorEastAsia" w:eastAsiaTheme="minorEastAsia"/>
          <w:b/>
          <w:bCs/>
          <w:color w:val="404040"/>
          <w:sz w:val="26"/>
        </w:rPr>
        <w:t>十一、监督电话</w:t>
      </w:r>
    </w:p>
    <w:p w14:paraId="4CFF6EFD">
      <w:pPr>
        <w:adjustRightInd/>
        <w:snapToGrid/>
        <w:spacing w:before="150" w:after="0" w:line="480" w:lineRule="atLeast"/>
        <w:ind w:firstLine="480"/>
        <w:jc w:val="both"/>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在采购报名、采购调研等采购过程中有任何异议，可联系我院监督科室。电话：83660063-8407；83660063-8467。</w:t>
      </w:r>
    </w:p>
    <w:p w14:paraId="7E51BAB8">
      <w:pPr>
        <w:pStyle w:val="16"/>
        <w:rPr>
          <w:rFonts w:hint="eastAsia" w:cs="仿宋_GB2312" w:asciiTheme="minorEastAsia" w:hAnsiTheme="minorEastAsia" w:eastAsiaTheme="minorEastAsia"/>
          <w:b/>
          <w:sz w:val="24"/>
          <w:szCs w:val="24"/>
        </w:rPr>
      </w:pPr>
    </w:p>
    <w:p w14:paraId="20752ABE">
      <w:pPr>
        <w:adjustRightInd/>
        <w:snapToGrid/>
        <w:spacing w:after="0"/>
        <w:rPr>
          <w:rFonts w:hint="eastAsia" w:cs="仿宋_GB2312" w:asciiTheme="minorEastAsia" w:hAnsiTheme="minorEastAsia" w:eastAsiaTheme="minorEastAsia"/>
          <w:b/>
          <w:sz w:val="24"/>
          <w:szCs w:val="24"/>
        </w:rPr>
      </w:pPr>
      <w:r>
        <w:rPr>
          <w:rFonts w:cs="仿宋_GB2312" w:asciiTheme="minorEastAsia" w:hAnsiTheme="minorEastAsia" w:eastAsiaTheme="minorEastAsia"/>
          <w:b/>
          <w:sz w:val="24"/>
          <w:szCs w:val="24"/>
        </w:rPr>
        <w:br w:type="page"/>
      </w:r>
    </w:p>
    <w:p w14:paraId="49F58547">
      <w:pPr>
        <w:widowControl w:val="0"/>
        <w:adjustRightInd/>
        <w:snapToGrid/>
        <w:spacing w:after="0" w:line="59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报价内容一览</w:t>
      </w:r>
    </w:p>
    <w:tbl>
      <w:tblPr>
        <w:tblStyle w:val="20"/>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5149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6B06CEDB">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项目名称</w:t>
            </w:r>
          </w:p>
        </w:tc>
        <w:tc>
          <w:tcPr>
            <w:tcW w:w="1438" w:type="dxa"/>
            <w:shd w:val="clear" w:color="FFFFFF" w:fill="auto"/>
            <w:vAlign w:val="center"/>
          </w:tcPr>
          <w:p w14:paraId="7F3A8E2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招标方式</w:t>
            </w:r>
          </w:p>
        </w:tc>
        <w:tc>
          <w:tcPr>
            <w:tcW w:w="1082" w:type="dxa"/>
            <w:shd w:val="clear" w:color="FFFFFF" w:fill="auto"/>
            <w:vAlign w:val="center"/>
          </w:tcPr>
          <w:p w14:paraId="046BA1D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控制价</w:t>
            </w:r>
          </w:p>
        </w:tc>
        <w:tc>
          <w:tcPr>
            <w:tcW w:w="1436" w:type="dxa"/>
            <w:shd w:val="clear" w:color="FFFFFF" w:fill="auto"/>
            <w:vAlign w:val="center"/>
          </w:tcPr>
          <w:p w14:paraId="302BA552">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数量</w:t>
            </w:r>
          </w:p>
        </w:tc>
        <w:tc>
          <w:tcPr>
            <w:tcW w:w="1500" w:type="dxa"/>
            <w:shd w:val="clear" w:color="FFFFFF" w:fill="auto"/>
            <w:vAlign w:val="center"/>
          </w:tcPr>
          <w:p w14:paraId="1571FED4">
            <w:pPr>
              <w:widowControl w:val="0"/>
              <w:adjustRightInd/>
              <w:snapToGrid/>
              <w:spacing w:after="0"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要求</w:t>
            </w:r>
          </w:p>
        </w:tc>
      </w:tr>
      <w:tr w14:paraId="175AD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14B63E1B">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福建省肿瘤医院护理护工服务遴选</w:t>
            </w:r>
            <w:r>
              <w:rPr>
                <w:rFonts w:cs="宋体" w:asciiTheme="minorEastAsia" w:hAnsiTheme="minorEastAsia" w:eastAsiaTheme="minorEastAsia"/>
                <w:color w:val="404040"/>
                <w:sz w:val="26"/>
                <w:szCs w:val="26"/>
              </w:rPr>
              <w:t>项目</w:t>
            </w:r>
          </w:p>
        </w:tc>
        <w:tc>
          <w:tcPr>
            <w:tcW w:w="1438" w:type="dxa"/>
            <w:vAlign w:val="center"/>
          </w:tcPr>
          <w:p w14:paraId="2E793FBE">
            <w:pPr>
              <w:spacing w:line="340" w:lineRule="exact"/>
              <w:jc w:val="center"/>
              <w:rPr>
                <w:rFonts w:hint="eastAsia" w:cs="宋体" w:asciiTheme="minorEastAsia" w:hAnsiTheme="minorEastAsia" w:eastAsiaTheme="minorEastAsia"/>
                <w:i/>
                <w:iCs/>
                <w:color w:val="404040"/>
                <w:sz w:val="26"/>
                <w:szCs w:val="26"/>
              </w:rPr>
            </w:pPr>
            <w:r>
              <w:rPr>
                <w:rFonts w:hint="eastAsia" w:cs="宋体" w:asciiTheme="minorEastAsia" w:hAnsiTheme="minorEastAsia" w:eastAsiaTheme="minorEastAsia"/>
                <w:color w:val="404040"/>
                <w:sz w:val="26"/>
                <w:szCs w:val="26"/>
              </w:rPr>
              <w:t>综合评分</w:t>
            </w:r>
          </w:p>
        </w:tc>
        <w:tc>
          <w:tcPr>
            <w:tcW w:w="1082" w:type="dxa"/>
            <w:vAlign w:val="center"/>
          </w:tcPr>
          <w:p w14:paraId="7C8F1CC2">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w:t>
            </w:r>
          </w:p>
        </w:tc>
        <w:tc>
          <w:tcPr>
            <w:tcW w:w="1436" w:type="dxa"/>
            <w:vAlign w:val="center"/>
          </w:tcPr>
          <w:p w14:paraId="194F3C49">
            <w:pPr>
              <w:spacing w:line="340" w:lineRule="exact"/>
              <w:jc w:val="center"/>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w:t>
            </w:r>
          </w:p>
        </w:tc>
        <w:tc>
          <w:tcPr>
            <w:tcW w:w="1500" w:type="dxa"/>
            <w:vAlign w:val="center"/>
          </w:tcPr>
          <w:p w14:paraId="0FC86F19">
            <w:pPr>
              <w:spacing w:line="340" w:lineRule="exact"/>
              <w:jc w:val="center"/>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详见附件</w:t>
            </w:r>
          </w:p>
        </w:tc>
      </w:tr>
    </w:tbl>
    <w:p w14:paraId="13D7C867">
      <w:pPr>
        <w:pStyle w:val="16"/>
        <w:rPr>
          <w:rFonts w:hint="eastAsia" w:cs="宋体" w:asciiTheme="minorEastAsia" w:hAnsiTheme="minorEastAsia" w:eastAsiaTheme="minorEastAsia"/>
          <w:color w:val="404040"/>
          <w:sz w:val="26"/>
          <w:szCs w:val="26"/>
        </w:rPr>
      </w:pPr>
      <w:r>
        <w:rPr>
          <w:rFonts w:cs="宋体" w:asciiTheme="minorEastAsia" w:hAnsiTheme="minorEastAsia" w:eastAsiaTheme="minorEastAsia"/>
          <w:color w:val="404040"/>
          <w:sz w:val="26"/>
          <w:szCs w:val="26"/>
        </w:rPr>
        <w:t>备注：</w:t>
      </w:r>
      <w:r>
        <w:rPr>
          <w:rFonts w:hint="eastAsia" w:cs="宋体" w:asciiTheme="minorEastAsia" w:hAnsiTheme="minorEastAsia" w:eastAsiaTheme="minorEastAsia"/>
          <w:color w:val="404040"/>
          <w:sz w:val="26"/>
          <w:szCs w:val="26"/>
        </w:rPr>
        <w:t>1、</w:t>
      </w:r>
      <w:r>
        <w:rPr>
          <w:rFonts w:cs="宋体" w:asciiTheme="minorEastAsia" w:hAnsiTheme="minorEastAsia" w:eastAsiaTheme="minorEastAsia"/>
          <w:color w:val="404040"/>
          <w:sz w:val="26"/>
          <w:szCs w:val="26"/>
        </w:rPr>
        <w:t>如双方对招标内容产生歧义，最终解释权归采购人。</w:t>
      </w:r>
    </w:p>
    <w:p w14:paraId="582FE125">
      <w:pPr>
        <w:pStyle w:val="16"/>
        <w:rPr>
          <w:rFonts w:hint="eastAsia" w:cs="仿宋_GB2312" w:asciiTheme="minorEastAsia" w:hAnsiTheme="minorEastAsia" w:eastAsiaTheme="minorEastAsia"/>
          <w:b/>
          <w:sz w:val="24"/>
          <w:szCs w:val="24"/>
        </w:rPr>
      </w:pPr>
    </w:p>
    <w:p w14:paraId="3FDD3E74">
      <w:pPr>
        <w:adjustRightInd/>
        <w:snapToGrid/>
        <w:spacing w:after="0"/>
        <w:rPr>
          <w:rFonts w:hint="eastAsia" w:cs="仿宋_GB2312" w:asciiTheme="minorEastAsia" w:hAnsiTheme="minorEastAsia" w:eastAsiaTheme="minorEastAsia"/>
          <w:b/>
          <w:sz w:val="24"/>
          <w:szCs w:val="24"/>
        </w:rPr>
      </w:pPr>
    </w:p>
    <w:p w14:paraId="25B1C534">
      <w:pPr>
        <w:pStyle w:val="16"/>
        <w:rPr>
          <w:rFonts w:hint="eastAsia" w:cs="仿宋_GB2312" w:asciiTheme="minorEastAsia" w:hAnsiTheme="minorEastAsia" w:eastAsiaTheme="minorEastAsia"/>
          <w:b/>
          <w:sz w:val="24"/>
          <w:szCs w:val="24"/>
        </w:rPr>
      </w:pPr>
    </w:p>
    <w:p w14:paraId="2FE7264C">
      <w:pPr>
        <w:pStyle w:val="16"/>
        <w:rPr>
          <w:rFonts w:hint="eastAsia" w:cs="仿宋_GB2312" w:asciiTheme="minorEastAsia" w:hAnsiTheme="minorEastAsia" w:eastAsiaTheme="minorEastAsia"/>
          <w:b/>
          <w:sz w:val="24"/>
          <w:szCs w:val="24"/>
        </w:rPr>
      </w:pPr>
    </w:p>
    <w:p w14:paraId="51B4F33F">
      <w:pPr>
        <w:pStyle w:val="16"/>
        <w:rPr>
          <w:rFonts w:hint="eastAsia" w:cs="仿宋_GB2312" w:asciiTheme="minorEastAsia" w:hAnsiTheme="minorEastAsia" w:eastAsiaTheme="minorEastAsia"/>
          <w:b/>
          <w:sz w:val="24"/>
          <w:szCs w:val="24"/>
        </w:rPr>
      </w:pPr>
    </w:p>
    <w:p w14:paraId="25E49639">
      <w:pPr>
        <w:pStyle w:val="16"/>
        <w:rPr>
          <w:rFonts w:hint="eastAsia" w:cs="仿宋_GB2312" w:asciiTheme="minorEastAsia" w:hAnsiTheme="minorEastAsia" w:eastAsiaTheme="minorEastAsia"/>
          <w:b/>
          <w:sz w:val="24"/>
          <w:szCs w:val="24"/>
        </w:rPr>
      </w:pPr>
    </w:p>
    <w:p w14:paraId="4D63D67B">
      <w:pPr>
        <w:pStyle w:val="16"/>
        <w:rPr>
          <w:rFonts w:hint="eastAsia" w:cs="仿宋_GB2312" w:asciiTheme="minorEastAsia" w:hAnsiTheme="minorEastAsia" w:eastAsiaTheme="minorEastAsia"/>
          <w:b/>
          <w:sz w:val="24"/>
          <w:szCs w:val="24"/>
        </w:rPr>
      </w:pPr>
    </w:p>
    <w:p w14:paraId="0A281B5B">
      <w:pPr>
        <w:pStyle w:val="16"/>
        <w:rPr>
          <w:rFonts w:hint="eastAsia" w:cs="仿宋_GB2312" w:asciiTheme="minorEastAsia" w:hAnsiTheme="minorEastAsia" w:eastAsiaTheme="minorEastAsia"/>
          <w:b/>
          <w:sz w:val="24"/>
          <w:szCs w:val="24"/>
        </w:rPr>
      </w:pPr>
    </w:p>
    <w:p w14:paraId="3FAE3066">
      <w:pPr>
        <w:pStyle w:val="16"/>
        <w:rPr>
          <w:rFonts w:hint="eastAsia" w:cs="仿宋_GB2312" w:asciiTheme="minorEastAsia" w:hAnsiTheme="minorEastAsia" w:eastAsiaTheme="minorEastAsia"/>
          <w:b/>
          <w:sz w:val="24"/>
          <w:szCs w:val="24"/>
        </w:rPr>
      </w:pPr>
    </w:p>
    <w:p w14:paraId="188397B1">
      <w:pPr>
        <w:pStyle w:val="16"/>
        <w:rPr>
          <w:rFonts w:hint="eastAsia" w:cs="仿宋_GB2312" w:asciiTheme="minorEastAsia" w:hAnsiTheme="minorEastAsia" w:eastAsiaTheme="minorEastAsia"/>
          <w:b/>
          <w:sz w:val="24"/>
          <w:szCs w:val="24"/>
        </w:rPr>
      </w:pPr>
    </w:p>
    <w:p w14:paraId="0B5F2497">
      <w:pPr>
        <w:pStyle w:val="16"/>
        <w:rPr>
          <w:rFonts w:hint="eastAsia" w:cs="仿宋_GB2312" w:asciiTheme="minorEastAsia" w:hAnsiTheme="minorEastAsia" w:eastAsiaTheme="minorEastAsia"/>
          <w:b/>
          <w:sz w:val="24"/>
          <w:szCs w:val="24"/>
        </w:rPr>
      </w:pPr>
    </w:p>
    <w:p w14:paraId="5C0B6CAD">
      <w:pPr>
        <w:pStyle w:val="16"/>
        <w:rPr>
          <w:rFonts w:hint="eastAsia" w:cs="仿宋_GB2312" w:asciiTheme="minorEastAsia" w:hAnsiTheme="minorEastAsia" w:eastAsiaTheme="minorEastAsia"/>
          <w:b/>
          <w:sz w:val="24"/>
          <w:szCs w:val="24"/>
        </w:rPr>
      </w:pPr>
    </w:p>
    <w:p w14:paraId="0A2F7A80">
      <w:pPr>
        <w:adjustRightInd/>
        <w:snapToGrid/>
        <w:spacing w:after="0"/>
        <w:rPr>
          <w:rFonts w:hint="eastAsia"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br w:type="page"/>
      </w:r>
    </w:p>
    <w:p w14:paraId="35536F9F">
      <w:pPr>
        <w:pStyle w:val="45"/>
        <w:rPr>
          <w:rFonts w:cs="宋体" w:asciiTheme="minorEastAsia" w:hAnsiTheme="minorEastAsia" w:eastAsiaTheme="minorEastAsia"/>
          <w:b/>
          <w:sz w:val="36"/>
          <w:szCs w:val="36"/>
        </w:rPr>
      </w:pPr>
      <w:r>
        <w:rPr>
          <w:rFonts w:cs="宋体" w:asciiTheme="minorEastAsia" w:hAnsiTheme="minorEastAsia" w:eastAsiaTheme="minorEastAsia"/>
          <w:b/>
          <w:sz w:val="36"/>
          <w:szCs w:val="36"/>
        </w:rPr>
        <w:t>附件：</w:t>
      </w:r>
    </w:p>
    <w:p w14:paraId="581E4BC7">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一、技术和服务要求</w:t>
      </w:r>
    </w:p>
    <w:p w14:paraId="1D4DE72A">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1.人员要求</w:t>
      </w:r>
    </w:p>
    <w:p w14:paraId="50A9EFE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1.1、护理员管理人员要求</w:t>
      </w:r>
    </w:p>
    <w:p w14:paraId="2264585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在医院内配置项目管理团队，项目经理资质要求：本科及以上学历，取得护士资格证书，具备5年以上护理相关工作经验；按比例20个护理员配置1个护理员管理人员。</w:t>
      </w:r>
    </w:p>
    <w:p w14:paraId="7E9EC884">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1.2、护理员要求</w:t>
      </w:r>
    </w:p>
    <w:p w14:paraId="2C7F5CE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聘用的护理员年龄符合18-60岁，服务意识强，态度端正，无参加非法组织及活动，提供无犯罪记录证明，有一定的语言表达和沟通交流的能力，具有小学及以上文化水平，男女不限，须进行岗前培训，具有护理类初级（或以上）职称证书或医疗护理员培训证书或护理类相关培训结业证书，持有医疗护理员培训证书人员占护理员总数50%及以上，</w:t>
      </w:r>
      <w:r>
        <w:rPr>
          <w:rFonts w:hint="eastAsia" w:asciiTheme="minorEastAsia" w:hAnsiTheme="minorEastAsia" w:eastAsiaTheme="minorEastAsia"/>
          <w:sz w:val="24"/>
        </w:rPr>
        <w:t>且持有医疗护理员培训证书人员达到50人及以上。</w:t>
      </w:r>
    </w:p>
    <w:p w14:paraId="2D1BC19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2.护理员人员管理要求</w:t>
      </w:r>
    </w:p>
    <w:p w14:paraId="1CDE962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2.1、护理员档案管理</w:t>
      </w:r>
    </w:p>
    <w:p w14:paraId="2231FC0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具有培训合格证书的护理员应建立档案，未建档不得从事护理员工作。</w:t>
      </w:r>
    </w:p>
    <w:p w14:paraId="729F61E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2.2、护理员健康管理</w:t>
      </w:r>
    </w:p>
    <w:p w14:paraId="677CADD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护理员上岗前应在二级以上医院进行健康检查并取得合格证，上岗后应每年进行一次健康检查。患有精神障碍、传染性疾病、药物过敏等疾病的人员，不得从事护理员工作。</w:t>
      </w:r>
    </w:p>
    <w:p w14:paraId="35251A58">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2.3、投标人有购买有效期内的团体人身险（包括但不限于个人意外险或雇主责任险）</w:t>
      </w:r>
    </w:p>
    <w:p w14:paraId="6B707FA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2.4、建立考评机制</w:t>
      </w:r>
    </w:p>
    <w:p w14:paraId="55DD1F4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中标人建立健全以职业道德、业务水平和患者满意度为主要内容的护理员考核评价方法，定期对护理员进行考核评价，并将考核结果计入护理员个人档案，对考核评价优良的优先聘用上岗，考核评价不合格的要责令其立即整改，对拒不改正，或不服从管理、职业道德差、乱收费、侵害患者合法权益的，采购人有权取消其在本项目的陪护资格。</w:t>
      </w:r>
    </w:p>
    <w:p w14:paraId="1F05ADE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2.5、监督管理</w:t>
      </w:r>
    </w:p>
    <w:p w14:paraId="37ED38DB">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中标人应认真做好护理员规范化管理工作，对医院考评不合格的护理员应解除合作关系，不再进行录用。</w:t>
      </w:r>
    </w:p>
    <w:p w14:paraId="22AAFD68">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3、护理员岗位设置、服务范围、内容</w:t>
      </w:r>
    </w:p>
    <w:p w14:paraId="14C83C13">
      <w:pPr>
        <w:keepNext w:val="0"/>
        <w:keepLines w:val="0"/>
        <w:pageBreakBefore w:val="0"/>
        <w:widowControl/>
        <w:kinsoku/>
        <w:wordWrap/>
        <w:overflowPunct/>
        <w:topLinePunct w:val="0"/>
        <w:autoSpaceDE/>
        <w:autoSpaceDN/>
        <w:bidi w:val="0"/>
        <w:adjustRightInd w:val="0"/>
        <w:snapToGrid w:val="0"/>
        <w:spacing w:line="360" w:lineRule="auto"/>
        <w:ind w:left="68"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rPr>
        <w:t>3.1、岗位设置：接受</w:t>
      </w:r>
      <w:r>
        <w:rPr>
          <w:rFonts w:hint="eastAsia" w:asciiTheme="minorEastAsia" w:hAnsiTheme="minorEastAsia" w:eastAsiaTheme="minorEastAsia"/>
          <w:sz w:val="24"/>
          <w:u w:val="single"/>
        </w:rPr>
        <w:t>福建省肿瘤</w:t>
      </w:r>
      <w:r>
        <w:rPr>
          <w:rFonts w:hint="eastAsia" w:asciiTheme="minorEastAsia" w:hAnsiTheme="minorEastAsia" w:eastAsiaTheme="minorEastAsia"/>
          <w:sz w:val="24"/>
        </w:rPr>
        <w:t>医院陪护服务委托管理，对</w:t>
      </w:r>
      <w:r>
        <w:rPr>
          <w:rFonts w:hint="eastAsia" w:asciiTheme="minorEastAsia" w:hAnsiTheme="minorEastAsia" w:eastAsiaTheme="minorEastAsia"/>
          <w:sz w:val="24"/>
          <w:highlight w:val="none"/>
        </w:rPr>
        <w:t>护理员</w:t>
      </w:r>
      <w:r>
        <w:rPr>
          <w:rFonts w:hint="eastAsia" w:asciiTheme="minorEastAsia" w:hAnsiTheme="minorEastAsia" w:eastAsiaTheme="minorEastAsia"/>
          <w:sz w:val="24"/>
        </w:rPr>
        <w:t>实行“五统一”（统一调配、统一着装、统一标志、统一收费、统一管理）管理，严格执行护理员岗位职责，不得从事与护理员职责无关的活动，严禁护理员代替护士从事护理技术性操作。</w:t>
      </w:r>
    </w:p>
    <w:p w14:paraId="3AE817AF">
      <w:pPr>
        <w:pStyle w:val="2"/>
        <w:keepNext w:val="0"/>
        <w:keepLines w:val="0"/>
        <w:pageBreakBefore w:val="0"/>
        <w:widowControl/>
        <w:kinsoku/>
        <w:wordWrap/>
        <w:overflowPunct/>
        <w:topLinePunct w:val="0"/>
        <w:autoSpaceDE/>
        <w:autoSpaceDN/>
        <w:bidi w:val="0"/>
        <w:adjustRightInd w:val="0"/>
        <w:snapToGrid w:val="0"/>
        <w:spacing w:line="360" w:lineRule="auto"/>
        <w:ind w:firstLine="960" w:firstLineChars="400"/>
        <w:textAlignment w:val="auto"/>
        <w:rPr>
          <w:rFonts w:hint="default"/>
          <w:highlight w:val="none"/>
          <w:lang w:val="en-US"/>
        </w:rPr>
      </w:pPr>
      <w:r>
        <w:rPr>
          <w:rFonts w:hint="eastAsia" w:cs="Times New Roman" w:asciiTheme="minorEastAsia" w:hAnsiTheme="minorEastAsia" w:eastAsiaTheme="minorEastAsia"/>
          <w:kern w:val="0"/>
          <w:sz w:val="24"/>
          <w:szCs w:val="22"/>
          <w:highlight w:val="none"/>
          <w:lang w:val="en-US" w:eastAsia="zh-CN" w:bidi="ar-SA"/>
          <w14:ligatures w14:val="standardContextual"/>
        </w:rPr>
        <w:t>服务范围：未参与免陪照护服务的患者</w:t>
      </w:r>
      <w:r>
        <w:rPr>
          <w:rFonts w:ascii="Arial" w:hAnsi="Arial" w:eastAsia="Arial" w:cs="Arial"/>
          <w:i w:val="0"/>
          <w:iCs w:val="0"/>
          <w:caps w:val="0"/>
          <w:color w:val="333333"/>
          <w:spacing w:val="0"/>
          <w:sz w:val="24"/>
          <w:szCs w:val="24"/>
          <w:highlight w:val="none"/>
          <w:shd w:val="clear" w:fill="FFFFFF"/>
        </w:rPr>
        <w:t>。</w:t>
      </w:r>
    </w:p>
    <w:p w14:paraId="60B56EB4">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3.2、护理员服务内容</w:t>
      </w:r>
    </w:p>
    <w:p w14:paraId="2B64EC5F">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护理员应在科室护士长或注册护士的业务指导下从事生活护理，尊重患者、关心患者，耐心细致地完成患者的生活护理，保护患者的隐私。包括：</w:t>
      </w:r>
    </w:p>
    <w:p w14:paraId="59CCD17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（1）24小时陪伴、观察病人，看护输液，发现异常及时报告医护人员。</w:t>
      </w:r>
    </w:p>
    <w:p w14:paraId="218C19EC">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（2）工作认真细致，严格实施各项防护措施，严防压疮、脱管、坠床、跌倒、烫伤、走失等不良事件的发生。</w:t>
      </w:r>
    </w:p>
    <w:p w14:paraId="16CB30D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（3）协助做好患者的床位整理，保持床头桌整洁有序，床底、地面无杂物，协助保持病房的安静整洁。</w:t>
      </w:r>
    </w:p>
    <w:p w14:paraId="0C1DE4E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（4）协助患者完成基本的生活护理，如卧床患者洗脸、洗头、梳头、洗脚、洗衣服、床上擦浴、修剪指（趾）甲、口腔卫生、患者会阴部清洁、皮肤护理、递送便盆、便壶、翻身、拍背、按摩、预防褥疮等。</w:t>
      </w:r>
    </w:p>
    <w:p w14:paraId="71E427B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（5）协助卧床患者及输液患者进食、进水、喂药，饭前饭后洗手，协助大小便及递送便器、处理排泄物等。</w:t>
      </w:r>
    </w:p>
    <w:p w14:paraId="58D5A7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（6）协助搬动患者或迁床工作，协助生活不能自理的患者起床活动，如上下床、坐轮椅、摆放体位以及活动关节等。</w:t>
      </w:r>
    </w:p>
    <w:p w14:paraId="1785B15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（7）协助患者留取各种标本。</w:t>
      </w:r>
    </w:p>
    <w:p w14:paraId="7EF0D97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（8）协助或陪同患者外出行相关检查、治疗。</w:t>
      </w:r>
    </w:p>
    <w:p w14:paraId="78D30D3B">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（9）在护士指导下，协助患者进行康复性训练。</w:t>
      </w:r>
    </w:p>
    <w:p w14:paraId="53AF856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（10）做好患者的心理安抚，陪伴患者并与患者及家属有效沟通。</w:t>
      </w:r>
    </w:p>
    <w:p w14:paraId="0F9D625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3.3、严禁护理员代替护士从事以下护理技术性操作</w:t>
      </w:r>
    </w:p>
    <w:p w14:paraId="23D3482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（1）严禁为患者调节氧气开关及氧气流量，更换或加减湿化瓶内用水。</w:t>
      </w:r>
    </w:p>
    <w:p w14:paraId="7B82D24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（2）严禁为输液患者更换液体，私自调节输液速度及为患者拔除输液管道。</w:t>
      </w:r>
    </w:p>
    <w:p w14:paraId="64C917A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（3）严禁为患者吸痰，擅自为患者更换各种引流瓶，为患者拔除各种引流管。</w:t>
      </w:r>
    </w:p>
    <w:p w14:paraId="119C337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（4）严禁擅自处理或调节监护仪器、呼吸机、输液泵等医疗设备等。</w:t>
      </w:r>
    </w:p>
    <w:p w14:paraId="306F03A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（5）严禁其它医疗护理技术操作。</w:t>
      </w:r>
    </w:p>
    <w:p w14:paraId="2DEB9940">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3.4、护理员工作要求</w:t>
      </w:r>
    </w:p>
    <w:p w14:paraId="4262EA9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（1）服从科室护士长和护理员管理站的管理，不挑选病人或科室。</w:t>
      </w:r>
    </w:p>
    <w:p w14:paraId="67CE817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（2）上班时须穿工作服，平底鞋，佩戴胸卡，衣服整洁卫生。</w:t>
      </w:r>
    </w:p>
    <w:p w14:paraId="784A820E">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（3）必须有爱心观念，视病人如亲人，积极倡导“三轻四心”即“说话轻、走路轻、做事轻，爱心、耐心、细心、责任心”的服务理念。</w:t>
      </w:r>
    </w:p>
    <w:p w14:paraId="5D6C57A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（4）护理员须尊重和保护病人隐私，不泄露病人信息。</w:t>
      </w:r>
    </w:p>
    <w:p w14:paraId="206AC82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（5）护理员可配合管理中心向病人或家属催缴正当的陪护费用，除此之外不向病人及家属索取任何钱物，做到不贪不拿不敲诈勒索。</w:t>
      </w:r>
    </w:p>
    <w:p w14:paraId="3B8C718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3.5、护理员工作质量标准</w:t>
      </w:r>
    </w:p>
    <w:p w14:paraId="15EB41B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在合同实施过程中，中标供应商须定期按采购人要求对护理员的工作要求和工作质量标准进行修订提升，中标供应商须积极配合改进，以满足采购人、患者及家属的需求。</w:t>
      </w:r>
    </w:p>
    <w:p w14:paraId="7D442FB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工作质量标准由中标供应商管理人员监督，每日定时巡查，巡查中发现的问题及时整改，严格按照管理规章制度执行。要求如下：</w:t>
      </w:r>
    </w:p>
    <w:p w14:paraId="3BE768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(1)病室环境整洁、安静、无异味，空气清新。</w:t>
      </w:r>
    </w:p>
    <w:p w14:paraId="379F166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(2)病室内无危险物品（如：刀、剪、绳、火、玻璃制品及锐器等）</w:t>
      </w:r>
    </w:p>
    <w:p w14:paraId="6D2BA60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(3)保持病人“三短六洁四无”：</w:t>
      </w:r>
    </w:p>
    <w:p w14:paraId="3E8DBD0D">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1）三短：病人头发、胡须、指（趾）甲短；</w:t>
      </w:r>
    </w:p>
    <w:p w14:paraId="5E9A79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2）六洁：病人口腔、皮肤、头发、手足、会阴及肛门清洁；</w:t>
      </w:r>
    </w:p>
    <w:p w14:paraId="6732604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3）四无：病人及病床无异味、衣服被褥无潮湿、床单无皱褶、皮肤无压疮。</w:t>
      </w:r>
    </w:p>
    <w:p w14:paraId="12A3AD41">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(4)护理员工作中做到细致、耐心，主动、热情；使用文明用语；</w:t>
      </w:r>
    </w:p>
    <w:p w14:paraId="2C3A51F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(5)护理员上岗着工服，带工牌，个人仪表卫生、清洁、整齐，做到头发、胡须、指甲短，身体及口腔无异味；</w:t>
      </w:r>
    </w:p>
    <w:p w14:paraId="5466F8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(6)护理员工作中见到医务人员、管理人员主动打招呼；</w:t>
      </w:r>
    </w:p>
    <w:p w14:paraId="0D56227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(7)护理员工作期间禁止玩手机；</w:t>
      </w:r>
    </w:p>
    <w:p w14:paraId="3C748B5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(8)护理员禁止与患者、家属、医务人员及院里领导发生争吵、身体接触；</w:t>
      </w:r>
    </w:p>
    <w:p w14:paraId="5E126238">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(9)护理员要耐心听取患者、家属及医务人员建议，有问题及时上报主管；</w:t>
      </w:r>
    </w:p>
    <w:p w14:paraId="024EE17A">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(10)护理员不得在病区做饭、看电视、会客、扎堆聊天、大声喧哗、随意外出，没有照护病人时不得留宿病房，不得以各种方式向病人及家属索要财物。</w:t>
      </w:r>
    </w:p>
    <w:p w14:paraId="272CC4B6">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(11)护理员不参与医疗有关事宜，不对病情及医疗事宜发表意见，保护患者隐私。</w:t>
      </w:r>
    </w:p>
    <w:p w14:paraId="7B834738">
      <w:pPr>
        <w:spacing w:line="360" w:lineRule="auto"/>
        <w:ind w:left="68"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rPr>
        <w:t>4、服务要求</w:t>
      </w:r>
    </w:p>
    <w:p w14:paraId="7A688031">
      <w:pPr>
        <w:spacing w:line="360" w:lineRule="auto"/>
        <w:ind w:left="68"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4.1、</w:t>
      </w:r>
      <w:r>
        <w:rPr>
          <w:rFonts w:hint="eastAsia" w:asciiTheme="minorEastAsia" w:hAnsiTheme="minorEastAsia" w:eastAsiaTheme="minorEastAsia"/>
          <w:sz w:val="24"/>
          <w:lang w:val="en-US" w:eastAsia="zh-CN"/>
        </w:rPr>
        <w:t>中标人应</w:t>
      </w:r>
      <w:r>
        <w:rPr>
          <w:rFonts w:hint="eastAsia" w:asciiTheme="minorEastAsia" w:hAnsiTheme="minorEastAsia" w:eastAsiaTheme="minorEastAsia"/>
          <w:sz w:val="24"/>
        </w:rPr>
        <w:t>提供培训方案,包括但不限于以下内容：每年有培训计划，每月对护理员进行理论、技能培训，重点包括职业道德、医院基本工作程序、规章制度及住院患者日常陪护照料等。培训内容：（1）职业道德；（2）工作制度、职责和流程；（3）消毒隔离基本知识；（4）患者卫生处置、生活护理和饮食种类；（5）护理等级要求；（6）常见卧位及意义，更换卧位方法；（7）健康教育相关知识和沟通交流技巧；（8）手卫生、消防知识、CPR；（9）患者转运、搬运方法及注意事项；（10）如何协助各种标本采集。培训方式为上岗前培训和上岗后定期强化培训相结合。</w:t>
      </w:r>
    </w:p>
    <w:p w14:paraId="160AE14C">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中标人应</w:t>
      </w:r>
      <w:r>
        <w:rPr>
          <w:rFonts w:hint="eastAsia" w:asciiTheme="minorEastAsia" w:hAnsiTheme="minorEastAsia" w:eastAsiaTheme="minorEastAsia"/>
          <w:sz w:val="24"/>
        </w:rPr>
        <w:t>提供服务投诉处理方案。（包括</w:t>
      </w:r>
      <w:r>
        <w:rPr>
          <w:rFonts w:hint="eastAsia" w:asciiTheme="minorEastAsia" w:hAnsiTheme="minorEastAsia" w:eastAsiaTheme="minorEastAsia"/>
          <w:sz w:val="24"/>
          <w:lang w:val="en-US" w:eastAsia="zh-CN"/>
        </w:rPr>
        <w:t>处理投诉联系方式、</w:t>
      </w:r>
      <w:r>
        <w:rPr>
          <w:rFonts w:hint="eastAsia" w:asciiTheme="minorEastAsia" w:hAnsiTheme="minorEastAsia" w:eastAsiaTheme="minorEastAsia"/>
          <w:sz w:val="24"/>
        </w:rPr>
        <w:t>处理投诉机构、投诉处理具体流程、信息反馈处理流程及时间等）</w:t>
      </w:r>
    </w:p>
    <w:p w14:paraId="3A71E013">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中标人应在采购人单位内派驻护理员管理人员，管理人员服从护理部领导或者指定负责人的指导，对人员应严格管理，做到24小时昼夜服务，新派护理员需在2小时到位，服从病区护士长及护士的管理，确保陪护质量。</w:t>
      </w:r>
    </w:p>
    <w:p w14:paraId="3DAE0CF9">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、护理员调配：护理员的轮班及休息时间由派遣公司自行安排，遇到人员紧缺的情况，中标人必须进行调配，确保有人在岗。</w:t>
      </w:r>
    </w:p>
    <w:p w14:paraId="59347EA7">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、中标人应提供临时突发时间的应急处置措施，如遇到护理员请假、突发性等缺人情况，由中标人统筹安排，保证有人在岗。</w:t>
      </w:r>
    </w:p>
    <w:p w14:paraId="0D5B4668">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二、收费标准及服务模式</w:t>
      </w:r>
    </w:p>
    <w:tbl>
      <w:tblPr>
        <w:tblStyle w:val="20"/>
        <w:tblW w:w="8599" w:type="dxa"/>
        <w:tblInd w:w="-30" w:type="dxa"/>
        <w:tblLayout w:type="autofit"/>
        <w:tblCellMar>
          <w:top w:w="0" w:type="dxa"/>
          <w:left w:w="108" w:type="dxa"/>
          <w:bottom w:w="0" w:type="dxa"/>
          <w:right w:w="108" w:type="dxa"/>
        </w:tblCellMar>
      </w:tblPr>
      <w:tblGrid>
        <w:gridCol w:w="1554"/>
        <w:gridCol w:w="1453"/>
        <w:gridCol w:w="4688"/>
        <w:gridCol w:w="904"/>
      </w:tblGrid>
      <w:tr w14:paraId="798D9339">
        <w:tblPrEx>
          <w:tblCellMar>
            <w:top w:w="0" w:type="dxa"/>
            <w:left w:w="108" w:type="dxa"/>
            <w:bottom w:w="0" w:type="dxa"/>
            <w:right w:w="108" w:type="dxa"/>
          </w:tblCellMar>
        </w:tblPrEx>
        <w:trPr>
          <w:trHeight w:val="1094" w:hRule="atLeast"/>
        </w:trPr>
        <w:tc>
          <w:tcPr>
            <w:tcW w:w="8599" w:type="dxa"/>
            <w:gridSpan w:val="4"/>
            <w:tcBorders>
              <w:top w:val="nil"/>
              <w:left w:val="nil"/>
              <w:bottom w:val="nil"/>
              <w:right w:val="nil"/>
            </w:tcBorders>
          </w:tcPr>
          <w:p w14:paraId="109EFCF0">
            <w:pPr>
              <w:widowControl w:val="0"/>
              <w:autoSpaceDE w:val="0"/>
              <w:autoSpaceDN w:val="0"/>
              <w:snapToGrid/>
              <w:spacing w:after="0"/>
              <w:rPr>
                <w:rFonts w:ascii="仿宋" w:hAnsi="Arial" w:eastAsia="仿宋" w:cs="仿宋"/>
                <w:color w:val="000000"/>
                <w:sz w:val="24"/>
                <w:szCs w:val="24"/>
              </w:rPr>
            </w:pPr>
            <w:r>
              <w:rPr>
                <w:rFonts w:ascii="仿宋" w:hAnsi="Arial" w:eastAsia="仿宋" w:cs="仿宋"/>
                <w:color w:val="000000"/>
                <w:sz w:val="24"/>
                <w:szCs w:val="24"/>
              </w:rPr>
              <w:t xml:space="preserve">   </w:t>
            </w:r>
            <w:r>
              <w:rPr>
                <w:rFonts w:hint="eastAsia" w:ascii="仿宋" w:hAnsi="Arial" w:eastAsia="仿宋" w:cs="仿宋"/>
                <w:color w:val="000000"/>
                <w:sz w:val="24"/>
                <w:szCs w:val="24"/>
              </w:rPr>
              <w:t>根据福建省卫健委福建省人力资源和社会保障厅福建省物价局联合下发《关于开展规范医院护工管理试点工作的意见》闽卫医【</w:t>
            </w:r>
            <w:r>
              <w:rPr>
                <w:rFonts w:ascii="仿宋" w:hAnsi="Arial" w:eastAsia="仿宋" w:cs="仿宋"/>
                <w:color w:val="000000"/>
                <w:sz w:val="24"/>
                <w:szCs w:val="24"/>
              </w:rPr>
              <w:t>2013</w:t>
            </w:r>
            <w:r>
              <w:rPr>
                <w:rFonts w:hint="eastAsia" w:ascii="仿宋" w:hAnsi="Arial" w:eastAsia="仿宋" w:cs="仿宋"/>
                <w:color w:val="000000"/>
                <w:sz w:val="24"/>
                <w:szCs w:val="24"/>
              </w:rPr>
              <w:t>】</w:t>
            </w:r>
            <w:r>
              <w:rPr>
                <w:rFonts w:ascii="仿宋" w:hAnsi="Arial" w:eastAsia="仿宋" w:cs="仿宋"/>
                <w:color w:val="000000"/>
                <w:sz w:val="24"/>
                <w:szCs w:val="24"/>
              </w:rPr>
              <w:t>68</w:t>
            </w:r>
            <w:r>
              <w:rPr>
                <w:rFonts w:hint="eastAsia" w:ascii="仿宋" w:hAnsi="Arial" w:eastAsia="仿宋" w:cs="仿宋"/>
                <w:color w:val="000000"/>
                <w:sz w:val="24"/>
                <w:szCs w:val="24"/>
              </w:rPr>
              <w:t>号文件精神并结合福建医科大学附属协和医院、</w:t>
            </w:r>
            <w:r>
              <w:rPr>
                <w:rFonts w:hint="eastAsia" w:ascii="仿宋" w:hAnsi="Arial" w:eastAsia="仿宋" w:cs="仿宋"/>
                <w:color w:val="000000"/>
                <w:sz w:val="24"/>
                <w:szCs w:val="24"/>
                <w:lang w:val="en-US" w:eastAsia="zh-CN"/>
              </w:rPr>
              <w:t>福建省立医院、</w:t>
            </w:r>
            <w:r>
              <w:rPr>
                <w:rFonts w:hint="eastAsia" w:ascii="仿宋" w:hAnsi="Arial" w:eastAsia="仿宋" w:cs="仿宋"/>
                <w:color w:val="000000"/>
                <w:sz w:val="24"/>
                <w:szCs w:val="24"/>
              </w:rPr>
              <w:t>福建医科大学附属第一医院、福建省第三人民医院等三级公立医院护理员收费标准，拟定我院护理员收费标准如下：</w:t>
            </w:r>
          </w:p>
        </w:tc>
      </w:tr>
      <w:tr w14:paraId="42A32B77">
        <w:tblPrEx>
          <w:tblCellMar>
            <w:top w:w="0" w:type="dxa"/>
            <w:left w:w="108" w:type="dxa"/>
            <w:bottom w:w="0" w:type="dxa"/>
            <w:right w:w="108" w:type="dxa"/>
          </w:tblCellMar>
        </w:tblPrEx>
        <w:trPr>
          <w:trHeight w:val="362" w:hRule="atLeast"/>
        </w:trPr>
        <w:tc>
          <w:tcPr>
            <w:tcW w:w="8599" w:type="dxa"/>
            <w:gridSpan w:val="4"/>
            <w:tcBorders>
              <w:top w:val="single" w:color="auto" w:sz="6" w:space="0"/>
              <w:left w:val="single" w:color="auto" w:sz="6" w:space="0"/>
              <w:bottom w:val="single" w:color="auto" w:sz="6" w:space="0"/>
              <w:right w:val="single" w:color="auto" w:sz="6" w:space="0"/>
            </w:tcBorders>
          </w:tcPr>
          <w:p w14:paraId="126B8A3E">
            <w:pPr>
              <w:widowControl w:val="0"/>
              <w:autoSpaceDE w:val="0"/>
              <w:autoSpaceDN w:val="0"/>
              <w:snapToGrid/>
              <w:spacing w:after="0"/>
              <w:jc w:val="center"/>
              <w:rPr>
                <w:rFonts w:hint="eastAsia" w:ascii="仿宋" w:hAnsi="Arial" w:eastAsia="仿宋" w:cs="仿宋"/>
                <w:b/>
                <w:bCs/>
                <w:color w:val="000000"/>
                <w:sz w:val="28"/>
                <w:szCs w:val="28"/>
              </w:rPr>
            </w:pPr>
            <w:r>
              <w:rPr>
                <w:rFonts w:hint="eastAsia" w:ascii="仿宋" w:hAnsi="Arial" w:eastAsia="仿宋" w:cs="仿宋"/>
                <w:b/>
                <w:bCs/>
                <w:color w:val="000000"/>
                <w:sz w:val="32"/>
                <w:szCs w:val="32"/>
              </w:rPr>
              <w:t>福建省肿瘤医院照护护理模式及收费标准</w:t>
            </w:r>
          </w:p>
        </w:tc>
      </w:tr>
      <w:tr w14:paraId="017F981A">
        <w:tblPrEx>
          <w:tblCellMar>
            <w:top w:w="0" w:type="dxa"/>
            <w:left w:w="108" w:type="dxa"/>
            <w:bottom w:w="0" w:type="dxa"/>
            <w:right w:w="108" w:type="dxa"/>
          </w:tblCellMar>
        </w:tblPrEx>
        <w:trPr>
          <w:trHeight w:val="362" w:hRule="atLeast"/>
        </w:trPr>
        <w:tc>
          <w:tcPr>
            <w:tcW w:w="0" w:type="auto"/>
            <w:tcBorders>
              <w:top w:val="single" w:color="auto" w:sz="6" w:space="0"/>
              <w:left w:val="single" w:color="auto" w:sz="6" w:space="0"/>
              <w:bottom w:val="single" w:color="auto" w:sz="6" w:space="0"/>
              <w:right w:val="single" w:color="auto" w:sz="6" w:space="0"/>
            </w:tcBorders>
          </w:tcPr>
          <w:p w14:paraId="5280A959">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级别</w:t>
            </w:r>
          </w:p>
        </w:tc>
        <w:tc>
          <w:tcPr>
            <w:tcW w:w="0" w:type="auto"/>
            <w:tcBorders>
              <w:top w:val="single" w:color="auto" w:sz="6" w:space="0"/>
              <w:left w:val="single" w:color="auto" w:sz="6" w:space="0"/>
              <w:bottom w:val="single" w:color="auto" w:sz="6" w:space="0"/>
              <w:right w:val="single" w:color="auto" w:sz="6" w:space="0"/>
            </w:tcBorders>
          </w:tcPr>
          <w:p w14:paraId="2CED9626">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适用范围</w:t>
            </w:r>
          </w:p>
        </w:tc>
        <w:tc>
          <w:tcPr>
            <w:tcW w:w="0" w:type="auto"/>
            <w:tcBorders>
              <w:top w:val="single" w:color="auto" w:sz="6" w:space="0"/>
              <w:left w:val="single" w:color="auto" w:sz="6" w:space="0"/>
              <w:bottom w:val="single" w:color="auto" w:sz="6" w:space="0"/>
              <w:right w:val="single" w:color="auto" w:sz="6" w:space="0"/>
            </w:tcBorders>
          </w:tcPr>
          <w:p w14:paraId="31A5E8FA">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服务内容</w:t>
            </w:r>
          </w:p>
        </w:tc>
        <w:tc>
          <w:tcPr>
            <w:tcW w:w="904" w:type="dxa"/>
            <w:tcBorders>
              <w:top w:val="single" w:color="auto" w:sz="6" w:space="0"/>
              <w:left w:val="single" w:color="auto" w:sz="6" w:space="0"/>
              <w:bottom w:val="single" w:color="auto" w:sz="6" w:space="0"/>
              <w:right w:val="single" w:color="auto" w:sz="6" w:space="0"/>
            </w:tcBorders>
          </w:tcPr>
          <w:p w14:paraId="44E78900">
            <w:pPr>
              <w:widowControl w:val="0"/>
              <w:autoSpaceDE w:val="0"/>
              <w:autoSpaceDN w:val="0"/>
              <w:snapToGrid/>
              <w:spacing w:after="0"/>
              <w:jc w:val="center"/>
              <w:rPr>
                <w:rFonts w:ascii="仿宋" w:hAnsi="Arial" w:eastAsia="仿宋" w:cs="仿宋"/>
                <w:b/>
                <w:bCs/>
                <w:color w:val="000000"/>
                <w:sz w:val="28"/>
                <w:szCs w:val="28"/>
              </w:rPr>
            </w:pPr>
            <w:r>
              <w:rPr>
                <w:rFonts w:hint="eastAsia" w:ascii="仿宋" w:hAnsi="Arial" w:eastAsia="仿宋" w:cs="仿宋"/>
                <w:b/>
                <w:bCs/>
                <w:color w:val="000000"/>
                <w:sz w:val="28"/>
                <w:szCs w:val="28"/>
              </w:rPr>
              <w:t>限价</w:t>
            </w:r>
          </w:p>
        </w:tc>
      </w:tr>
      <w:tr w14:paraId="0812D937">
        <w:tblPrEx>
          <w:tblCellMar>
            <w:top w:w="0" w:type="dxa"/>
            <w:left w:w="108" w:type="dxa"/>
            <w:bottom w:w="0" w:type="dxa"/>
            <w:right w:w="108" w:type="dxa"/>
          </w:tblCellMar>
        </w:tblPrEx>
        <w:trPr>
          <w:trHeight w:val="3127" w:hRule="atLeast"/>
        </w:trPr>
        <w:tc>
          <w:tcPr>
            <w:tcW w:w="0" w:type="auto"/>
            <w:tcBorders>
              <w:top w:val="single" w:color="auto" w:sz="6" w:space="0"/>
              <w:left w:val="single" w:color="auto" w:sz="6" w:space="0"/>
              <w:bottom w:val="single" w:color="auto" w:sz="6" w:space="0"/>
              <w:right w:val="single" w:color="auto" w:sz="6" w:space="0"/>
            </w:tcBorders>
          </w:tcPr>
          <w:p w14:paraId="16FABB6B">
            <w:pPr>
              <w:widowControl w:val="0"/>
              <w:autoSpaceDE w:val="0"/>
              <w:autoSpaceDN w:val="0"/>
              <w:snapToGrid/>
              <w:spacing w:after="0"/>
              <w:rPr>
                <w:rFonts w:hint="eastAsia" w:ascii="仿宋_GB2312" w:hAnsi="Arial" w:eastAsia="仿宋_GB2312" w:cs="仿宋_GB2312"/>
                <w:color w:val="000000"/>
                <w:sz w:val="24"/>
                <w:szCs w:val="24"/>
              </w:rPr>
            </w:pPr>
            <w:r>
              <w:rPr>
                <w:rFonts w:hint="eastAsia" w:ascii="仿宋_GB2312" w:hAnsi="Arial" w:eastAsia="仿宋_GB2312" w:cs="仿宋_GB2312"/>
                <w:color w:val="000000"/>
                <w:sz w:val="24"/>
                <w:szCs w:val="24"/>
              </w:rPr>
              <w:t xml:space="preserve">C级护理                     </w:t>
            </w:r>
          </w:p>
          <w:p w14:paraId="2BF4C487">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（一对</w:t>
            </w:r>
            <w:r>
              <w:rPr>
                <w:rFonts w:hint="eastAsia" w:ascii="仿宋_GB2312" w:hAnsi="Arial" w:eastAsia="仿宋_GB2312" w:cs="仿宋_GB2312"/>
                <w:color w:val="000000"/>
                <w:sz w:val="24"/>
                <w:szCs w:val="24"/>
                <w:lang w:val="en-US" w:eastAsia="zh-CN"/>
              </w:rPr>
              <w:t>三</w:t>
            </w:r>
            <w:r>
              <w:rPr>
                <w:rFonts w:hint="eastAsia" w:ascii="仿宋_GB2312" w:hAnsi="Arial" w:eastAsia="仿宋_GB2312" w:cs="仿宋_GB2312"/>
                <w:color w:val="000000"/>
                <w:sz w:val="24"/>
                <w:szCs w:val="24"/>
              </w:rPr>
              <w:t>）</w:t>
            </w:r>
          </w:p>
        </w:tc>
        <w:tc>
          <w:tcPr>
            <w:tcW w:w="0" w:type="auto"/>
            <w:tcBorders>
              <w:top w:val="single" w:color="auto" w:sz="6" w:space="0"/>
              <w:left w:val="single" w:color="auto" w:sz="6" w:space="0"/>
              <w:bottom w:val="single" w:color="auto" w:sz="6" w:space="0"/>
              <w:right w:val="single" w:color="auto" w:sz="6" w:space="0"/>
            </w:tcBorders>
          </w:tcPr>
          <w:p w14:paraId="6824270D">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部分生活不能自理患者（能正常如厕）</w:t>
            </w:r>
          </w:p>
        </w:tc>
        <w:tc>
          <w:tcPr>
            <w:tcW w:w="0" w:type="auto"/>
            <w:tcBorders>
              <w:top w:val="single" w:color="auto" w:sz="6" w:space="0"/>
              <w:left w:val="single" w:color="auto" w:sz="6" w:space="0"/>
              <w:bottom w:val="single" w:color="auto" w:sz="6" w:space="0"/>
              <w:right w:val="single" w:color="auto" w:sz="6" w:space="0"/>
            </w:tcBorders>
          </w:tcPr>
          <w:p w14:paraId="4DFB022A">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318EDEB9">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保证患者清洁：协助患者洗漱、擦身、更换衣裤、洗头、修剪指甲、剃胡须。</w:t>
            </w:r>
          </w:p>
          <w:p w14:paraId="51033466">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促进患者舒适：协助患者打饭、进食、饮水，协助患者翻身、拍背。</w:t>
            </w:r>
          </w:p>
          <w:p w14:paraId="02FE1B0E">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维护患者安全：协助患者床椅移动、协助患者使用轮椅、平车等转运工具。</w:t>
            </w:r>
          </w:p>
          <w:p w14:paraId="69608E13">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r>
              <w:rPr>
                <w:rFonts w:ascii="仿宋_GB2312" w:hAnsi="Arial" w:eastAsia="仿宋_GB2312" w:cs="仿宋_GB2312"/>
                <w:color w:val="000000"/>
                <w:sz w:val="24"/>
                <w:szCs w:val="24"/>
              </w:rPr>
              <w:t xml:space="preserve">                                  </w:t>
            </w:r>
            <w:r>
              <w:rPr>
                <w:rFonts w:ascii="仿宋_GB2312" w:hAnsi="Arial" w:eastAsia="仿宋_GB2312" w:cs="仿宋_GB2312"/>
                <w:b/>
                <w:bCs/>
                <w:color w:val="000000"/>
                <w:sz w:val="24"/>
                <w:szCs w:val="24"/>
              </w:rPr>
              <w:t>6.</w:t>
            </w:r>
            <w:r>
              <w:rPr>
                <w:rFonts w:hint="eastAsia" w:ascii="仿宋_GB2312" w:hAnsi="Arial" w:eastAsia="仿宋_GB2312" w:cs="仿宋_GB2312"/>
                <w:b/>
                <w:bCs/>
                <w:color w:val="000000"/>
                <w:sz w:val="24"/>
                <w:szCs w:val="24"/>
              </w:rPr>
              <w:t>每班定时巡视，</w:t>
            </w:r>
            <w:r>
              <w:rPr>
                <w:rFonts w:ascii="仿宋_GB2312" w:hAnsi="Arial" w:eastAsia="仿宋_GB2312" w:cs="仿宋_GB2312"/>
                <w:b/>
                <w:bCs/>
                <w:color w:val="000000"/>
                <w:sz w:val="24"/>
                <w:szCs w:val="24"/>
              </w:rPr>
              <w:t>12</w:t>
            </w:r>
            <w:r>
              <w:rPr>
                <w:rFonts w:hint="eastAsia" w:ascii="仿宋_GB2312" w:hAnsi="Arial" w:eastAsia="仿宋_GB2312" w:cs="仿宋_GB2312"/>
                <w:b/>
                <w:bCs/>
                <w:color w:val="000000"/>
                <w:sz w:val="24"/>
                <w:szCs w:val="24"/>
              </w:rPr>
              <w:t>小时轮班服务。</w:t>
            </w:r>
          </w:p>
          <w:p w14:paraId="38374C44">
            <w:pPr>
              <w:widowControl w:val="0"/>
              <w:autoSpaceDE w:val="0"/>
              <w:autoSpaceDN w:val="0"/>
              <w:snapToGrid/>
              <w:spacing w:after="0"/>
              <w:rPr>
                <w:rFonts w:ascii="仿宋_GB2312" w:hAnsi="Arial" w:eastAsia="仿宋_GB2312" w:cs="仿宋_GB2312"/>
                <w:color w:val="000000"/>
                <w:sz w:val="24"/>
                <w:szCs w:val="24"/>
              </w:rPr>
            </w:pPr>
          </w:p>
        </w:tc>
        <w:tc>
          <w:tcPr>
            <w:tcW w:w="904" w:type="dxa"/>
            <w:tcBorders>
              <w:top w:val="single" w:color="auto" w:sz="6" w:space="0"/>
              <w:left w:val="single" w:color="auto" w:sz="6" w:space="0"/>
              <w:bottom w:val="single" w:color="auto" w:sz="6" w:space="0"/>
              <w:right w:val="single" w:color="auto" w:sz="6" w:space="0"/>
            </w:tcBorders>
          </w:tcPr>
          <w:p w14:paraId="3C75A39F">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lang w:val="en-US" w:eastAsia="zh-CN"/>
              </w:rPr>
              <w:t>150</w:t>
            </w:r>
            <w:r>
              <w:rPr>
                <w:rFonts w:hint="eastAsia" w:ascii="仿宋_GB2312" w:hAnsi="Arial" w:eastAsia="仿宋_GB2312" w:cs="仿宋_GB2312"/>
                <w:color w:val="000000"/>
                <w:sz w:val="24"/>
                <w:szCs w:val="24"/>
              </w:rPr>
              <w:t>元/天</w:t>
            </w:r>
          </w:p>
        </w:tc>
      </w:tr>
      <w:tr w14:paraId="6EBAA5F9">
        <w:tblPrEx>
          <w:tblCellMar>
            <w:top w:w="0" w:type="dxa"/>
            <w:left w:w="108" w:type="dxa"/>
            <w:bottom w:w="0" w:type="dxa"/>
            <w:right w:w="108" w:type="dxa"/>
          </w:tblCellMar>
        </w:tblPrEx>
        <w:trPr>
          <w:trHeight w:val="3322" w:hRule="atLeast"/>
        </w:trPr>
        <w:tc>
          <w:tcPr>
            <w:tcW w:w="0" w:type="auto"/>
            <w:tcBorders>
              <w:top w:val="single" w:color="auto" w:sz="6" w:space="0"/>
              <w:left w:val="single" w:color="auto" w:sz="6" w:space="0"/>
              <w:bottom w:val="single" w:color="auto" w:sz="6" w:space="0"/>
              <w:right w:val="single" w:color="auto" w:sz="6" w:space="0"/>
            </w:tcBorders>
          </w:tcPr>
          <w:p w14:paraId="5623CD46">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B</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（一对一）</w:t>
            </w:r>
          </w:p>
        </w:tc>
        <w:tc>
          <w:tcPr>
            <w:tcW w:w="0" w:type="auto"/>
            <w:tcBorders>
              <w:top w:val="single" w:color="auto" w:sz="6" w:space="0"/>
              <w:left w:val="single" w:color="auto" w:sz="6" w:space="0"/>
              <w:bottom w:val="single" w:color="auto" w:sz="6" w:space="0"/>
              <w:right w:val="single" w:color="auto" w:sz="6" w:space="0"/>
            </w:tcBorders>
          </w:tcPr>
          <w:p w14:paraId="3686DC68">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生活基本不能自理患者（需协助如厕）</w:t>
            </w:r>
          </w:p>
        </w:tc>
        <w:tc>
          <w:tcPr>
            <w:tcW w:w="0" w:type="auto"/>
            <w:tcBorders>
              <w:top w:val="single" w:color="auto" w:sz="6" w:space="0"/>
              <w:left w:val="single" w:color="auto" w:sz="6" w:space="0"/>
              <w:bottom w:val="single" w:color="auto" w:sz="6" w:space="0"/>
              <w:right w:val="single" w:color="auto" w:sz="6" w:space="0"/>
            </w:tcBorders>
          </w:tcPr>
          <w:p w14:paraId="6EC263C9">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327B065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保证患者清洁：协助患者洗漱、擦身、更换衣裤、洗头、修剪指甲、剃胡须，</w:t>
            </w:r>
            <w:r>
              <w:rPr>
                <w:rFonts w:hint="eastAsia" w:ascii="仿宋_GB2312" w:hAnsi="Arial" w:eastAsia="仿宋_GB2312" w:cs="仿宋_GB2312"/>
                <w:b/>
                <w:bCs/>
                <w:color w:val="000000"/>
                <w:sz w:val="24"/>
                <w:szCs w:val="24"/>
              </w:rPr>
              <w:t>为二便失禁患者做好会阴部、肛周的清洁。</w:t>
            </w:r>
          </w:p>
          <w:p w14:paraId="34AEF5D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促进患者舒适：协助患者打饭、进食、饮水，协助患者翻身、拍背。</w:t>
            </w:r>
          </w:p>
          <w:p w14:paraId="371B43AE">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维护患者安全：协助患者</w:t>
            </w:r>
            <w:r>
              <w:rPr>
                <w:rFonts w:hint="eastAsia" w:ascii="仿宋_GB2312" w:hAnsi="Arial" w:eastAsia="仿宋_GB2312" w:cs="仿宋_GB2312"/>
                <w:b/>
                <w:bCs/>
                <w:color w:val="000000"/>
                <w:sz w:val="24"/>
                <w:szCs w:val="24"/>
              </w:rPr>
              <w:t>如厕</w:t>
            </w:r>
            <w:r>
              <w:rPr>
                <w:rFonts w:hint="eastAsia" w:ascii="仿宋_GB2312" w:hAnsi="Arial" w:eastAsia="仿宋_GB2312" w:cs="仿宋_GB2312"/>
                <w:color w:val="000000"/>
                <w:sz w:val="24"/>
                <w:szCs w:val="24"/>
              </w:rPr>
              <w:t>、床椅移动、协助患者使用轮椅、平车等转运工具。</w:t>
            </w:r>
          </w:p>
          <w:p w14:paraId="2C00319F">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ascii="仿宋_GB2312" w:hAnsi="Arial" w:eastAsia="仿宋_GB2312" w:cs="仿宋_GB2312"/>
                <w:b/>
                <w:bCs/>
                <w:color w:val="000000"/>
                <w:sz w:val="24"/>
                <w:szCs w:val="24"/>
              </w:rPr>
              <w:t>24</w:t>
            </w:r>
            <w:r>
              <w:rPr>
                <w:rFonts w:hint="eastAsia" w:ascii="仿宋_GB2312" w:hAnsi="Arial" w:eastAsia="仿宋_GB2312" w:cs="仿宋_GB2312"/>
                <w:b/>
                <w:bCs/>
                <w:color w:val="000000"/>
                <w:sz w:val="24"/>
                <w:szCs w:val="24"/>
              </w:rPr>
              <w:t>小时陪护，</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p>
          <w:p w14:paraId="1E7C5836">
            <w:pPr>
              <w:widowControl w:val="0"/>
              <w:autoSpaceDE w:val="0"/>
              <w:autoSpaceDN w:val="0"/>
              <w:snapToGrid/>
              <w:spacing w:after="0"/>
              <w:rPr>
                <w:rFonts w:ascii="仿宋_GB2312" w:hAnsi="Arial" w:eastAsia="仿宋_GB2312" w:cs="仿宋_GB2312"/>
                <w:b/>
                <w:bCs/>
                <w:color w:val="000000"/>
                <w:sz w:val="24"/>
                <w:szCs w:val="24"/>
              </w:rPr>
            </w:pPr>
            <w:r>
              <w:rPr>
                <w:rFonts w:ascii="仿宋_GB2312" w:hAnsi="Arial" w:eastAsia="仿宋_GB2312" w:cs="仿宋_GB2312"/>
                <w:b/>
                <w:bCs/>
                <w:color w:val="000000"/>
                <w:sz w:val="24"/>
                <w:szCs w:val="24"/>
              </w:rPr>
              <w:t>6.</w:t>
            </w:r>
            <w:r>
              <w:rPr>
                <w:rFonts w:hint="eastAsia" w:ascii="仿宋_GB2312" w:hAnsi="Arial" w:eastAsia="仿宋_GB2312" w:cs="仿宋_GB2312"/>
                <w:b/>
                <w:bCs/>
                <w:color w:val="000000"/>
                <w:sz w:val="24"/>
                <w:szCs w:val="24"/>
              </w:rPr>
              <w:t>陪同患者进行相关检查。</w:t>
            </w:r>
          </w:p>
        </w:tc>
        <w:tc>
          <w:tcPr>
            <w:tcW w:w="904" w:type="dxa"/>
            <w:tcBorders>
              <w:top w:val="single" w:color="auto" w:sz="6" w:space="0"/>
              <w:left w:val="single" w:color="auto" w:sz="6" w:space="0"/>
              <w:bottom w:val="single" w:color="auto" w:sz="6" w:space="0"/>
              <w:right w:val="single" w:color="auto" w:sz="6" w:space="0"/>
            </w:tcBorders>
          </w:tcPr>
          <w:p w14:paraId="2350D2FB">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2</w:t>
            </w:r>
            <w:r>
              <w:rPr>
                <w:rFonts w:hint="eastAsia" w:ascii="仿宋_GB2312" w:hAnsi="Arial" w:eastAsia="仿宋_GB2312" w:cs="仿宋_GB2312"/>
                <w:color w:val="000000"/>
                <w:sz w:val="24"/>
                <w:szCs w:val="24"/>
                <w:lang w:val="en-US" w:eastAsia="zh-CN"/>
              </w:rPr>
              <w:t>30</w:t>
            </w:r>
            <w:r>
              <w:rPr>
                <w:rFonts w:hint="eastAsia" w:ascii="仿宋_GB2312" w:hAnsi="Arial" w:eastAsia="仿宋_GB2312" w:cs="仿宋_GB2312"/>
                <w:color w:val="000000"/>
                <w:sz w:val="24"/>
                <w:szCs w:val="24"/>
              </w:rPr>
              <w:t>元/天</w:t>
            </w:r>
          </w:p>
        </w:tc>
      </w:tr>
      <w:tr w14:paraId="503E1990">
        <w:tblPrEx>
          <w:tblCellMar>
            <w:top w:w="0" w:type="dxa"/>
            <w:left w:w="108" w:type="dxa"/>
            <w:bottom w:w="0" w:type="dxa"/>
            <w:right w:w="108" w:type="dxa"/>
          </w:tblCellMar>
        </w:tblPrEx>
        <w:trPr>
          <w:trHeight w:val="4205" w:hRule="atLeast"/>
        </w:trPr>
        <w:tc>
          <w:tcPr>
            <w:tcW w:w="0" w:type="auto"/>
            <w:tcBorders>
              <w:top w:val="single" w:color="auto" w:sz="6" w:space="0"/>
              <w:left w:val="single" w:color="auto" w:sz="6" w:space="0"/>
              <w:bottom w:val="single" w:color="auto" w:sz="6" w:space="0"/>
              <w:right w:val="single" w:color="auto" w:sz="6" w:space="0"/>
            </w:tcBorders>
          </w:tcPr>
          <w:p w14:paraId="097E238B">
            <w:pPr>
              <w:widowControl w:val="0"/>
              <w:autoSpaceDE w:val="0"/>
              <w:autoSpaceDN w:val="0"/>
              <w:snapToGrid/>
              <w:spacing w:after="0"/>
              <w:jc w:val="center"/>
              <w:rPr>
                <w:rFonts w:ascii="仿宋_GB2312" w:hAnsi="Arial" w:eastAsia="仿宋_GB2312" w:cs="仿宋_GB2312"/>
                <w:color w:val="000000"/>
                <w:sz w:val="24"/>
                <w:szCs w:val="24"/>
              </w:rPr>
            </w:pPr>
            <w:r>
              <w:rPr>
                <w:rFonts w:ascii="仿宋_GB2312" w:hAnsi="Arial" w:eastAsia="仿宋_GB2312" w:cs="仿宋_GB2312"/>
                <w:color w:val="000000"/>
                <w:sz w:val="24"/>
                <w:szCs w:val="24"/>
              </w:rPr>
              <w:t>A</w:t>
            </w:r>
            <w:r>
              <w:rPr>
                <w:rFonts w:hint="eastAsia" w:ascii="仿宋_GB2312" w:hAnsi="Arial" w:eastAsia="仿宋_GB2312" w:cs="仿宋_GB2312"/>
                <w:color w:val="000000"/>
                <w:sz w:val="24"/>
                <w:szCs w:val="24"/>
              </w:rPr>
              <w:t>级护理</w:t>
            </w:r>
            <w:r>
              <w:rPr>
                <w:rFonts w:ascii="仿宋_GB2312" w:hAnsi="Arial" w:eastAsia="仿宋_GB2312" w:cs="仿宋_GB2312"/>
                <w:color w:val="000000"/>
                <w:sz w:val="24"/>
                <w:szCs w:val="24"/>
              </w:rPr>
              <w:t xml:space="preserve">                     </w:t>
            </w:r>
            <w:r>
              <w:rPr>
                <w:rFonts w:hint="eastAsia" w:ascii="仿宋_GB2312" w:hAnsi="Arial" w:eastAsia="仿宋_GB2312" w:cs="仿宋_GB2312"/>
                <w:color w:val="000000"/>
                <w:sz w:val="24"/>
                <w:szCs w:val="24"/>
              </w:rPr>
              <w:t>（一对一）</w:t>
            </w:r>
          </w:p>
        </w:tc>
        <w:tc>
          <w:tcPr>
            <w:tcW w:w="0" w:type="auto"/>
            <w:tcBorders>
              <w:top w:val="single" w:color="auto" w:sz="6" w:space="0"/>
              <w:left w:val="single" w:color="auto" w:sz="6" w:space="0"/>
              <w:bottom w:val="single" w:color="auto" w:sz="6" w:space="0"/>
              <w:right w:val="single" w:color="auto" w:sz="6" w:space="0"/>
            </w:tcBorders>
          </w:tcPr>
          <w:p w14:paraId="47263621">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生活完全不能自理的患者</w:t>
            </w:r>
          </w:p>
        </w:tc>
        <w:tc>
          <w:tcPr>
            <w:tcW w:w="0" w:type="auto"/>
            <w:tcBorders>
              <w:top w:val="single" w:color="auto" w:sz="6" w:space="0"/>
              <w:left w:val="single" w:color="auto" w:sz="6" w:space="0"/>
              <w:bottom w:val="single" w:color="auto" w:sz="6" w:space="0"/>
              <w:right w:val="single" w:color="auto" w:sz="6" w:space="0"/>
            </w:tcBorders>
          </w:tcPr>
          <w:p w14:paraId="1FF77764">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1.</w:t>
            </w:r>
            <w:r>
              <w:rPr>
                <w:rFonts w:hint="eastAsia" w:ascii="仿宋_GB2312" w:hAnsi="Arial" w:eastAsia="仿宋_GB2312" w:cs="仿宋_GB2312"/>
                <w:color w:val="000000"/>
                <w:sz w:val="24"/>
                <w:szCs w:val="24"/>
              </w:rPr>
              <w:t>保证病室整洁：整理床单位、协助将患者个人用物摆放整齐，床下尿壶、便盆等不落地。</w:t>
            </w:r>
          </w:p>
          <w:p w14:paraId="73AC044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2.</w:t>
            </w:r>
            <w:r>
              <w:rPr>
                <w:rFonts w:hint="eastAsia" w:ascii="仿宋_GB2312" w:hAnsi="Arial" w:eastAsia="仿宋_GB2312" w:cs="仿宋_GB2312"/>
                <w:color w:val="000000"/>
                <w:sz w:val="24"/>
                <w:szCs w:val="24"/>
              </w:rPr>
              <w:t>保证患者清洁：</w:t>
            </w:r>
            <w:r>
              <w:rPr>
                <w:rFonts w:hint="eastAsia" w:ascii="仿宋_GB2312" w:hAnsi="Arial" w:eastAsia="仿宋_GB2312" w:cs="仿宋_GB2312"/>
                <w:b/>
                <w:bCs/>
                <w:color w:val="000000"/>
                <w:sz w:val="24"/>
                <w:szCs w:val="24"/>
              </w:rPr>
              <w:t>完成</w:t>
            </w:r>
            <w:r>
              <w:rPr>
                <w:rFonts w:hint="eastAsia" w:ascii="仿宋_GB2312" w:hAnsi="Arial" w:eastAsia="仿宋_GB2312" w:cs="仿宋_GB2312"/>
                <w:color w:val="000000"/>
                <w:sz w:val="24"/>
                <w:szCs w:val="24"/>
              </w:rPr>
              <w:t>患者洗漱、擦身、更换衣裤、洗头、修剪指甲、剃胡须，为二便失禁患者做好会阴部、肛周的清洁。</w:t>
            </w:r>
          </w:p>
          <w:p w14:paraId="292D068A">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3.</w:t>
            </w:r>
            <w:r>
              <w:rPr>
                <w:rFonts w:hint="eastAsia" w:ascii="仿宋_GB2312" w:hAnsi="Arial" w:eastAsia="仿宋_GB2312" w:cs="仿宋_GB2312"/>
                <w:color w:val="000000"/>
                <w:sz w:val="24"/>
                <w:szCs w:val="24"/>
              </w:rPr>
              <w:t>促进患者舒适：</w:t>
            </w:r>
            <w:r>
              <w:rPr>
                <w:rFonts w:hint="eastAsia" w:ascii="仿宋_GB2312" w:hAnsi="Arial" w:eastAsia="仿宋_GB2312" w:cs="仿宋_GB2312"/>
                <w:b/>
                <w:bCs/>
                <w:color w:val="000000"/>
                <w:sz w:val="24"/>
                <w:szCs w:val="24"/>
              </w:rPr>
              <w:t>完成</w:t>
            </w:r>
            <w:r>
              <w:rPr>
                <w:rFonts w:hint="eastAsia" w:ascii="仿宋_GB2312" w:hAnsi="Arial" w:eastAsia="仿宋_GB2312" w:cs="仿宋_GB2312"/>
                <w:color w:val="000000"/>
                <w:sz w:val="24"/>
                <w:szCs w:val="24"/>
              </w:rPr>
              <w:t>患者的进食、饮水、翻身、拍背。</w:t>
            </w:r>
          </w:p>
          <w:p w14:paraId="3F60A197">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4.</w:t>
            </w:r>
            <w:r>
              <w:rPr>
                <w:rFonts w:hint="eastAsia" w:ascii="仿宋_GB2312" w:hAnsi="Arial" w:eastAsia="仿宋_GB2312" w:cs="仿宋_GB2312"/>
                <w:color w:val="000000"/>
                <w:sz w:val="24"/>
                <w:szCs w:val="24"/>
              </w:rPr>
              <w:t>维护患者安全：</w:t>
            </w:r>
            <w:r>
              <w:rPr>
                <w:rFonts w:hint="eastAsia" w:ascii="仿宋_GB2312" w:hAnsi="Arial" w:eastAsia="仿宋_GB2312" w:cs="仿宋_GB2312"/>
                <w:b/>
                <w:bCs/>
                <w:color w:val="000000"/>
                <w:sz w:val="24"/>
                <w:szCs w:val="24"/>
              </w:rPr>
              <w:t>为患者完成</w:t>
            </w:r>
            <w:r>
              <w:rPr>
                <w:rFonts w:hint="eastAsia" w:ascii="仿宋_GB2312" w:hAnsi="Arial" w:eastAsia="仿宋_GB2312" w:cs="仿宋_GB2312"/>
                <w:color w:val="000000"/>
                <w:sz w:val="24"/>
                <w:szCs w:val="24"/>
              </w:rPr>
              <w:t>如厕、床椅移动、使用轮椅、平车等转运工具。</w:t>
            </w:r>
          </w:p>
          <w:p w14:paraId="7924064D">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5.</w:t>
            </w:r>
            <w:r>
              <w:rPr>
                <w:rFonts w:ascii="仿宋_GB2312" w:hAnsi="Arial" w:eastAsia="仿宋_GB2312" w:cs="仿宋_GB2312"/>
                <w:b/>
                <w:bCs/>
                <w:color w:val="000000"/>
                <w:sz w:val="24"/>
                <w:szCs w:val="24"/>
              </w:rPr>
              <w:t>24</w:t>
            </w:r>
            <w:r>
              <w:rPr>
                <w:rFonts w:hint="eastAsia" w:ascii="仿宋_GB2312" w:hAnsi="Arial" w:eastAsia="仿宋_GB2312" w:cs="仿宋_GB2312"/>
                <w:b/>
                <w:bCs/>
                <w:color w:val="000000"/>
                <w:sz w:val="24"/>
                <w:szCs w:val="24"/>
              </w:rPr>
              <w:t>小时陪护，</w:t>
            </w:r>
            <w:r>
              <w:rPr>
                <w:rFonts w:hint="eastAsia" w:ascii="仿宋_GB2312" w:hAnsi="Arial" w:eastAsia="仿宋_GB2312" w:cs="仿宋_GB2312"/>
                <w:color w:val="000000"/>
                <w:sz w:val="24"/>
                <w:szCs w:val="24"/>
              </w:rPr>
              <w:t>在医护人员的指导下，注意患者病情、输液情况的观察、保持各管路通畅，发现异常及时告知医护人员。</w:t>
            </w:r>
            <w:r>
              <w:rPr>
                <w:rFonts w:ascii="仿宋_GB2312" w:hAnsi="Arial" w:eastAsia="仿宋_GB2312" w:cs="仿宋_GB2312"/>
                <w:color w:val="000000"/>
                <w:sz w:val="24"/>
                <w:szCs w:val="24"/>
              </w:rPr>
              <w:t xml:space="preserve">                                6</w:t>
            </w:r>
            <w:r>
              <w:rPr>
                <w:rFonts w:ascii="仿宋_GB2312" w:hAnsi="Arial" w:eastAsia="仿宋_GB2312" w:cs="仿宋_GB2312"/>
                <w:b/>
                <w:bCs/>
                <w:color w:val="000000"/>
                <w:sz w:val="24"/>
                <w:szCs w:val="24"/>
              </w:rPr>
              <w:t>.</w:t>
            </w:r>
            <w:r>
              <w:rPr>
                <w:rFonts w:hint="eastAsia" w:ascii="仿宋_GB2312" w:hAnsi="Arial" w:eastAsia="仿宋_GB2312" w:cs="仿宋_GB2312"/>
                <w:b/>
                <w:bCs/>
                <w:color w:val="000000"/>
                <w:sz w:val="24"/>
                <w:szCs w:val="24"/>
              </w:rPr>
              <w:t>陪同患者进行相关检查。</w:t>
            </w:r>
          </w:p>
          <w:p w14:paraId="7612C01D">
            <w:pPr>
              <w:widowControl w:val="0"/>
              <w:autoSpaceDE w:val="0"/>
              <w:autoSpaceDN w:val="0"/>
              <w:snapToGrid/>
              <w:spacing w:after="0"/>
              <w:rPr>
                <w:rFonts w:ascii="仿宋_GB2312" w:hAnsi="Arial" w:eastAsia="仿宋_GB2312" w:cs="仿宋_GB2312"/>
                <w:color w:val="000000"/>
                <w:sz w:val="24"/>
                <w:szCs w:val="24"/>
              </w:rPr>
            </w:pPr>
            <w:r>
              <w:rPr>
                <w:rFonts w:ascii="仿宋_GB2312" w:hAnsi="Arial" w:eastAsia="仿宋_GB2312" w:cs="仿宋_GB2312"/>
                <w:color w:val="000000"/>
                <w:sz w:val="24"/>
                <w:szCs w:val="24"/>
              </w:rPr>
              <w:t xml:space="preserve">    </w:t>
            </w:r>
          </w:p>
        </w:tc>
        <w:tc>
          <w:tcPr>
            <w:tcW w:w="904" w:type="dxa"/>
            <w:tcBorders>
              <w:top w:val="single" w:color="auto" w:sz="6" w:space="0"/>
              <w:left w:val="single" w:color="auto" w:sz="6" w:space="0"/>
              <w:bottom w:val="single" w:color="auto" w:sz="6" w:space="0"/>
              <w:right w:val="single" w:color="auto" w:sz="6" w:space="0"/>
            </w:tcBorders>
          </w:tcPr>
          <w:p w14:paraId="48611A63">
            <w:pPr>
              <w:widowControl w:val="0"/>
              <w:autoSpaceDE w:val="0"/>
              <w:autoSpaceDN w:val="0"/>
              <w:snapToGrid/>
              <w:spacing w:after="0"/>
              <w:rPr>
                <w:rFonts w:ascii="仿宋_GB2312" w:hAnsi="Arial" w:eastAsia="仿宋_GB2312" w:cs="仿宋_GB2312"/>
                <w:color w:val="000000"/>
                <w:sz w:val="24"/>
                <w:szCs w:val="24"/>
              </w:rPr>
            </w:pPr>
            <w:r>
              <w:rPr>
                <w:rFonts w:hint="eastAsia" w:ascii="仿宋_GB2312" w:hAnsi="Arial" w:eastAsia="仿宋_GB2312" w:cs="仿宋_GB2312"/>
                <w:color w:val="000000"/>
                <w:sz w:val="24"/>
                <w:szCs w:val="24"/>
              </w:rPr>
              <w:t>260元/天</w:t>
            </w:r>
          </w:p>
        </w:tc>
      </w:tr>
    </w:tbl>
    <w:p w14:paraId="394DEF84">
      <w:pPr>
        <w:pStyle w:val="2"/>
        <w:rPr>
          <w:highlight w:val="yellow"/>
        </w:rPr>
      </w:pPr>
    </w:p>
    <w:p w14:paraId="476A53E4">
      <w:pPr>
        <w:spacing w:after="156" w:afterLines="50" w:line="468" w:lineRule="exact"/>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供应商需承诺若中标则按照此收费标准执行，否则做无效投标处理。</w:t>
      </w:r>
    </w:p>
    <w:p w14:paraId="55213CE6">
      <w:pPr>
        <w:spacing w:after="156" w:afterLines="50" w:line="468" w:lineRule="exact"/>
        <w:rPr>
          <w:rFonts w:hint="eastAsia" w:asciiTheme="minorEastAsia" w:hAnsiTheme="minorEastAsia" w:eastAsiaTheme="minorEastAsia"/>
          <w:b/>
          <w:bCs/>
          <w:sz w:val="30"/>
          <w:szCs w:val="30"/>
        </w:rPr>
      </w:pPr>
      <w:r>
        <w:rPr>
          <w:rFonts w:hint="eastAsia" w:asciiTheme="minorEastAsia" w:hAnsiTheme="minorEastAsia" w:eastAsiaTheme="minorEastAsia"/>
          <w:b/>
          <w:bCs/>
          <w:sz w:val="30"/>
          <w:szCs w:val="30"/>
        </w:rPr>
        <w:t>三、服务期限及服务地点</w:t>
      </w:r>
    </w:p>
    <w:p w14:paraId="772A330C">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1、服务期：1年；</w:t>
      </w:r>
    </w:p>
    <w:p w14:paraId="28F537FD">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2、服务地点：</w:t>
      </w:r>
      <w:r>
        <w:rPr>
          <w:rFonts w:hint="eastAsia" w:cs="宋体" w:asciiTheme="minorEastAsia" w:hAnsiTheme="minorEastAsia" w:eastAsiaTheme="minorEastAsia"/>
          <w:sz w:val="24"/>
          <w:u w:val="single"/>
        </w:rPr>
        <w:t>福建省肿瘤医院</w:t>
      </w:r>
    </w:p>
    <w:p w14:paraId="5768848A">
      <w:pPr>
        <w:spacing w:after="156" w:afterLines="50" w:line="468" w:lineRule="exact"/>
        <w:rPr>
          <w:rFonts w:hint="eastAsia" w:asciiTheme="minorEastAsia" w:hAnsiTheme="minorEastAsia" w:eastAsiaTheme="minorEastAsia"/>
          <w:b/>
          <w:bCs/>
          <w:sz w:val="30"/>
          <w:szCs w:val="30"/>
        </w:rPr>
      </w:pPr>
      <w:bookmarkStart w:id="2" w:name="_Toc146679650"/>
      <w:bookmarkStart w:id="3" w:name="_Toc168037533"/>
      <w:bookmarkStart w:id="4" w:name="_Toc89791596"/>
      <w:bookmarkStart w:id="5" w:name="_Toc169944023"/>
      <w:bookmarkStart w:id="6" w:name="_Toc145393563"/>
      <w:bookmarkStart w:id="7" w:name="_Toc14191"/>
      <w:bookmarkStart w:id="8" w:name="_Toc116869901"/>
      <w:bookmarkStart w:id="9" w:name="_Toc146679241"/>
      <w:bookmarkStart w:id="10" w:name="_Toc150852805"/>
      <w:bookmarkStart w:id="11" w:name="_Toc148496402"/>
      <w:bookmarkStart w:id="12" w:name="_Toc148496351"/>
      <w:bookmarkStart w:id="13" w:name="_Toc116895408"/>
      <w:bookmarkStart w:id="14" w:name="_Toc144818372"/>
      <w:bookmarkStart w:id="15" w:name="_Toc483588242"/>
      <w:bookmarkStart w:id="16" w:name="_Toc141847066"/>
      <w:bookmarkStart w:id="17" w:name="_Toc105315000"/>
      <w:bookmarkStart w:id="18" w:name="_Toc189832470"/>
      <w:bookmarkStart w:id="19" w:name="_Toc169877476"/>
      <w:bookmarkStart w:id="20" w:name="_Toc150163485"/>
      <w:bookmarkStart w:id="21" w:name="_Toc90180873"/>
      <w:bookmarkStart w:id="22" w:name="_Toc89791698"/>
      <w:bookmarkStart w:id="23" w:name="_Toc152583389"/>
      <w:bookmarkStart w:id="24" w:name="_Toc36974051"/>
      <w:bookmarkStart w:id="25" w:name="_Toc36973198"/>
      <w:bookmarkStart w:id="26" w:name="_Toc36974289"/>
      <w:bookmarkStart w:id="27" w:name="_Toc36974340"/>
      <w:bookmarkStart w:id="28" w:name="_Toc36973985"/>
      <w:bookmarkStart w:id="29" w:name="_Toc32815547"/>
      <w:bookmarkStart w:id="30" w:name="_Toc37236847"/>
      <w:bookmarkStart w:id="31" w:name="_Toc36974207"/>
      <w:bookmarkStart w:id="32" w:name="_Toc34471344"/>
      <w:bookmarkStart w:id="33" w:name="_Toc36885854"/>
      <w:bookmarkStart w:id="34" w:name="_Toc36867048"/>
      <w:r>
        <w:rPr>
          <w:rFonts w:hint="eastAsia" w:asciiTheme="minorEastAsia" w:hAnsiTheme="minorEastAsia" w:eastAsiaTheme="minorEastAsia"/>
          <w:b/>
          <w:bCs/>
          <w:sz w:val="30"/>
          <w:szCs w:val="30"/>
        </w:rPr>
        <w:t>四、报价要求</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FB19333">
      <w:pPr>
        <w:tabs>
          <w:tab w:val="left" w:pos="5130"/>
        </w:tabs>
        <w:spacing w:line="360" w:lineRule="auto"/>
        <w:ind w:left="69"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1、本次招标不涉及报价，供应商按照采购要求对服务收费标准进行承诺。</w:t>
      </w:r>
    </w:p>
    <w:bookmarkEnd w:id="24"/>
    <w:bookmarkEnd w:id="25"/>
    <w:bookmarkEnd w:id="26"/>
    <w:bookmarkEnd w:id="27"/>
    <w:bookmarkEnd w:id="28"/>
    <w:bookmarkEnd w:id="29"/>
    <w:bookmarkEnd w:id="30"/>
    <w:bookmarkEnd w:id="31"/>
    <w:bookmarkEnd w:id="32"/>
    <w:bookmarkEnd w:id="33"/>
    <w:bookmarkEnd w:id="34"/>
    <w:p w14:paraId="03808060">
      <w:pPr>
        <w:spacing w:after="156" w:afterLines="50" w:line="468" w:lineRule="exact"/>
        <w:rPr>
          <w:rFonts w:hint="eastAsia" w:asciiTheme="minorEastAsia" w:hAnsiTheme="minorEastAsia" w:eastAsiaTheme="minorEastAsia"/>
          <w:b/>
          <w:bCs/>
          <w:sz w:val="30"/>
          <w:szCs w:val="30"/>
        </w:rPr>
      </w:pPr>
      <w:bookmarkStart w:id="35" w:name="_Toc521311776"/>
      <w:r>
        <w:rPr>
          <w:rFonts w:hint="eastAsia" w:asciiTheme="minorEastAsia" w:hAnsiTheme="minorEastAsia" w:eastAsiaTheme="minorEastAsia"/>
          <w:b/>
          <w:bCs/>
          <w:sz w:val="30"/>
          <w:szCs w:val="30"/>
        </w:rPr>
        <w:t>五、追责条款</w:t>
      </w:r>
    </w:p>
    <w:p w14:paraId="73C99B85">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护理员陪护期间如果有偷窃及猥亵病人等违法行为，一律报警追究法律责任；与客户发生纠纷或自身工作失误给客户造成损失如造成病人摔伤、烫伤、坠床、走失等意外伤害或其他医疗纠纷时，均由中标人与客户自行处理，中标人应承担一切赔偿责任及其产生的法律后果，采购人不承担纠纷处理义务和任何法律责任。中标供应商人员无论是在工作当中或者是上下班途中的人身安全均由中标人自行负责，如果发生意外与采购人无关。</w:t>
      </w:r>
    </w:p>
    <w:p w14:paraId="1860237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 中标供应商人员在采购人指导下做好疫情防控工作，中标供应商人员违反规定造成疫情扩散，中标供应商承担一切后果。</w:t>
      </w:r>
    </w:p>
    <w:p w14:paraId="3B3C9612">
      <w:pPr>
        <w:spacing w:line="360" w:lineRule="auto"/>
        <w:ind w:left="68"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如果中标供应商达不到采购人提出的服务要求，采购人有权要求中标供应商在一个月内完成整改，中标供应商整改无成效的，采购人有权单方面解除合同，造成采购人经济损失的，中标供应商应负责赔偿采购人。</w:t>
      </w:r>
    </w:p>
    <w:p w14:paraId="1E55F939">
      <w:pPr>
        <w:spacing w:line="360" w:lineRule="auto"/>
        <w:ind w:left="68"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为了保障护理员工作质量，中标人应向采购人提供不少于5万元的履约保证金，如果中标人在合同期内考核合格，合同期满退回本金，如果中标方人员出现违法违规行为，院方有权按照一次500-2000元范围内扣罚保证金，保证金扣完时采购人有权解除合同。</w:t>
      </w:r>
    </w:p>
    <w:p w14:paraId="6346BA86">
      <w:pPr>
        <w:pStyle w:val="5"/>
        <w:tabs>
          <w:tab w:val="left" w:pos="308"/>
        </w:tabs>
        <w:spacing w:before="0" w:after="0" w:line="360" w:lineRule="auto"/>
        <w:rPr>
          <w:rFonts w:hint="eastAsia" w:cs="宋体" w:asciiTheme="minorEastAsia" w:hAnsiTheme="minorEastAsia" w:eastAsiaTheme="minorEastAsia"/>
          <w:color w:val="auto"/>
          <w:szCs w:val="28"/>
        </w:rPr>
      </w:pPr>
      <w:r>
        <w:rPr>
          <w:rFonts w:hint="eastAsia" w:cs="宋体" w:asciiTheme="minorEastAsia" w:hAnsiTheme="minorEastAsia" w:eastAsiaTheme="minorEastAsia"/>
          <w:color w:val="auto"/>
          <w:szCs w:val="28"/>
        </w:rPr>
        <w:t>六、验收条件及标准</w:t>
      </w:r>
    </w:p>
    <w:p w14:paraId="2B6E9713">
      <w:pPr>
        <w:spacing w:line="360" w:lineRule="auto"/>
        <w:ind w:left="69"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1、验收方式：中标供应商</w:t>
      </w:r>
      <w:r>
        <w:rPr>
          <w:rFonts w:hint="eastAsia" w:asciiTheme="minorEastAsia" w:hAnsiTheme="minorEastAsia" w:eastAsiaTheme="minorEastAsia"/>
          <w:bCs/>
          <w:sz w:val="24"/>
        </w:rPr>
        <w:t>工作人员考核应严格按照采购人的要求，采购人根据工作人员具体从事的事务工作质量、效率进行评议，不定期出具考核意见，如被评为不合格，成交供应商应按采购人要求在5日内更换人员，所产生的费用由成交供应商自行承担。</w:t>
      </w:r>
    </w:p>
    <w:p w14:paraId="297F2764">
      <w:pPr>
        <w:spacing w:line="360" w:lineRule="auto"/>
        <w:ind w:left="69" w:firstLine="480" w:firstLineChars="200"/>
        <w:rPr>
          <w:rFonts w:hint="eastAsia" w:cs="Arial" w:asciiTheme="minorEastAsia" w:hAnsiTheme="minorEastAsia" w:eastAsiaTheme="minorEastAsia"/>
          <w:sz w:val="24"/>
          <w:highlight w:val="yellow"/>
        </w:rPr>
      </w:pPr>
      <w:r>
        <w:rPr>
          <w:rFonts w:hint="eastAsia" w:cs="Arial" w:asciiTheme="minorEastAsia" w:hAnsiTheme="minorEastAsia" w:eastAsiaTheme="minorEastAsia"/>
          <w:sz w:val="24"/>
        </w:rPr>
        <w:t>2、验收依据：</w:t>
      </w:r>
      <w:r>
        <w:rPr>
          <w:rFonts w:hint="eastAsia" w:cs="宋体" w:asciiTheme="minorEastAsia" w:hAnsiTheme="minorEastAsia" w:eastAsiaTheme="minorEastAsia"/>
          <w:sz w:val="24"/>
        </w:rPr>
        <w:t>招标文件、投标文件、技术标准说明及国家有关的质量标准规定，均为验收依据。</w:t>
      </w:r>
    </w:p>
    <w:p w14:paraId="0E16F33C">
      <w:pPr>
        <w:spacing w:line="360" w:lineRule="auto"/>
        <w:ind w:left="69" w:firstLine="480" w:firstLineChars="200"/>
        <w:rPr>
          <w:rFonts w:hint="eastAsia" w:cs="Arial" w:asciiTheme="minorEastAsia" w:hAnsiTheme="minorEastAsia" w:eastAsiaTheme="minorEastAsia"/>
          <w:sz w:val="24"/>
        </w:rPr>
      </w:pP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、验收过程所发生的一切费用由中标供应商承担。</w:t>
      </w:r>
    </w:p>
    <w:bookmarkEnd w:id="35"/>
    <w:p w14:paraId="262AEEF7">
      <w:pPr>
        <w:pStyle w:val="45"/>
        <w:rPr>
          <w:rFonts w:cs="宋体" w:asciiTheme="minorEastAsia" w:hAnsiTheme="minorEastAsia" w:eastAsiaTheme="minorEastAsia"/>
          <w:b/>
          <w:sz w:val="36"/>
          <w:szCs w:val="36"/>
        </w:rPr>
      </w:pPr>
      <w:r>
        <w:rPr>
          <w:rFonts w:cs="宋体" w:asciiTheme="minorEastAsia" w:hAnsiTheme="minorEastAsia" w:eastAsiaTheme="minorEastAsia"/>
          <w:b/>
          <w:sz w:val="36"/>
          <w:szCs w:val="36"/>
        </w:rPr>
        <w:t>二、评分办法</w:t>
      </w:r>
    </w:p>
    <w:tbl>
      <w:tblPr>
        <w:tblStyle w:val="20"/>
        <w:tblpPr w:leftFromText="180" w:rightFromText="180" w:vertAnchor="text" w:horzAnchor="page" w:tblpXSpec="center" w:tblpY="6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6"/>
        <w:gridCol w:w="526"/>
      </w:tblGrid>
      <w:tr w14:paraId="6435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0" w:type="auto"/>
            <w:tcBorders>
              <w:top w:val="single" w:color="auto" w:sz="4" w:space="0"/>
              <w:left w:val="single" w:color="auto" w:sz="4" w:space="0"/>
              <w:bottom w:val="single" w:color="auto" w:sz="4" w:space="0"/>
              <w:right w:val="single" w:color="auto" w:sz="4" w:space="0"/>
            </w:tcBorders>
            <w:vAlign w:val="center"/>
          </w:tcPr>
          <w:p w14:paraId="66875241">
            <w:pPr>
              <w:pStyle w:val="45"/>
              <w:jc w:val="both"/>
              <w:rPr>
                <w:rFonts w:asciiTheme="minorEastAsia" w:hAnsiTheme="minorEastAsia" w:eastAsiaTheme="minorEastAsia"/>
                <w:b/>
                <w:bCs/>
                <w:sz w:val="26"/>
                <w:szCs w:val="26"/>
              </w:rPr>
            </w:pPr>
            <w:r>
              <w:rPr>
                <w:rFonts w:asciiTheme="minorEastAsia" w:hAnsiTheme="minorEastAsia" w:eastAsiaTheme="minorEastAsia"/>
                <w:b/>
                <w:bCs/>
                <w:sz w:val="26"/>
                <w:szCs w:val="26"/>
              </w:rPr>
              <w:t>评分因素及细则</w:t>
            </w:r>
          </w:p>
        </w:tc>
        <w:tc>
          <w:tcPr>
            <w:tcW w:w="0" w:type="auto"/>
            <w:tcBorders>
              <w:top w:val="single" w:color="auto" w:sz="4" w:space="0"/>
              <w:left w:val="single" w:color="auto" w:sz="4" w:space="0"/>
              <w:bottom w:val="single" w:color="auto" w:sz="4" w:space="0"/>
              <w:right w:val="single" w:color="auto" w:sz="4" w:space="0"/>
            </w:tcBorders>
            <w:vAlign w:val="center"/>
          </w:tcPr>
          <w:p w14:paraId="706B6CB0">
            <w:pPr>
              <w:pStyle w:val="45"/>
              <w:rPr>
                <w:rFonts w:asciiTheme="minorEastAsia" w:hAnsiTheme="minorEastAsia" w:eastAsiaTheme="minorEastAsia"/>
                <w:b/>
                <w:bCs/>
                <w:sz w:val="26"/>
                <w:szCs w:val="26"/>
              </w:rPr>
            </w:pPr>
            <w:r>
              <w:rPr>
                <w:rFonts w:asciiTheme="minorEastAsia" w:hAnsiTheme="minorEastAsia" w:eastAsiaTheme="minorEastAsia"/>
                <w:b/>
                <w:bCs/>
                <w:sz w:val="26"/>
                <w:szCs w:val="26"/>
              </w:rPr>
              <w:t>满分</w:t>
            </w:r>
          </w:p>
        </w:tc>
      </w:tr>
      <w:tr w14:paraId="07D1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tcBorders>
              <w:top w:val="single" w:color="auto" w:sz="4" w:space="0"/>
              <w:left w:val="single" w:color="auto" w:sz="4" w:space="0"/>
              <w:bottom w:val="single" w:color="auto" w:sz="4" w:space="0"/>
              <w:right w:val="single" w:color="auto" w:sz="4" w:space="0"/>
            </w:tcBorders>
            <w:vAlign w:val="center"/>
          </w:tcPr>
          <w:p w14:paraId="7548F4FD">
            <w:pPr>
              <w:pStyle w:val="45"/>
              <w:jc w:val="both"/>
              <w:rPr>
                <w:rFonts w:asciiTheme="minorEastAsia" w:hAnsiTheme="minorEastAsia" w:eastAsiaTheme="minorEastAsia"/>
                <w:b/>
                <w:bCs/>
                <w:sz w:val="26"/>
                <w:szCs w:val="26"/>
              </w:rPr>
            </w:pPr>
            <w:r>
              <w:rPr>
                <w:rFonts w:asciiTheme="minorEastAsia" w:hAnsiTheme="minorEastAsia" w:eastAsiaTheme="minorEastAsia"/>
                <w:bCs/>
                <w:sz w:val="26"/>
                <w:szCs w:val="26"/>
              </w:rPr>
              <w:t>技术项（F2×A2）满分为7</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.00分</w:t>
            </w:r>
          </w:p>
        </w:tc>
        <w:tc>
          <w:tcPr>
            <w:tcW w:w="0" w:type="auto"/>
            <w:tcBorders>
              <w:top w:val="single" w:color="auto" w:sz="4" w:space="0"/>
              <w:left w:val="single" w:color="auto" w:sz="4" w:space="0"/>
              <w:bottom w:val="single" w:color="auto" w:sz="4" w:space="0"/>
              <w:right w:val="single" w:color="auto" w:sz="4" w:space="0"/>
            </w:tcBorders>
            <w:vAlign w:val="center"/>
          </w:tcPr>
          <w:p w14:paraId="0AEB8174">
            <w:pPr>
              <w:pStyle w:val="45"/>
              <w:rPr>
                <w:rFonts w:asciiTheme="minorEastAsia" w:hAnsiTheme="minorEastAsia" w:eastAsiaTheme="minorEastAsia"/>
                <w:b/>
                <w:bCs/>
                <w:sz w:val="26"/>
                <w:szCs w:val="26"/>
              </w:rPr>
            </w:pPr>
          </w:p>
        </w:tc>
      </w:tr>
      <w:tr w14:paraId="0599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tcBorders>
              <w:top w:val="single" w:color="auto" w:sz="4" w:space="0"/>
              <w:left w:val="single" w:color="auto" w:sz="4" w:space="0"/>
              <w:bottom w:val="single" w:color="auto" w:sz="4" w:space="0"/>
              <w:right w:val="single" w:color="auto" w:sz="4" w:space="0"/>
            </w:tcBorders>
            <w:vAlign w:val="center"/>
          </w:tcPr>
          <w:p w14:paraId="77E4C08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T1、根据投标人制定的项目整体服务方案进行评价：</w:t>
            </w:r>
          </w:p>
          <w:p w14:paraId="46F2BBE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制定的服务方案至少包含服务思路、服务定位、各项管理内容，方案能够满足本项目需求的得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.8分；提出有针对性的管理设想，分析项目重点难点，并提出应对管理措施，包括防止院内交叉感染措施、质量控制措施等，有助于提升本项目服务的得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w:t>
            </w:r>
          </w:p>
          <w:p w14:paraId="691F511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71773785">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4A1B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0" w:type="auto"/>
            <w:tcBorders>
              <w:top w:val="single" w:color="auto" w:sz="4" w:space="0"/>
              <w:left w:val="single" w:color="auto" w:sz="4" w:space="0"/>
              <w:bottom w:val="single" w:color="auto" w:sz="4" w:space="0"/>
              <w:right w:val="single" w:color="auto" w:sz="4" w:space="0"/>
            </w:tcBorders>
            <w:vAlign w:val="center"/>
          </w:tcPr>
          <w:p w14:paraId="7CD142C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T2、根据投标人的管理机构及管理制度进行评价：</w:t>
            </w:r>
          </w:p>
          <w:p w14:paraId="1D4F06C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制定的人员管理方案至少包含管理机构设置、各部门职责、各类规章制度、保密规定，方案能够满足本项目需求的得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.8分；针对医院情况提出有针对性的管理制度，公司内部成立单独领导小组，并明确相应职责，有助于提升本项目服务的得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w:t>
            </w:r>
          </w:p>
          <w:p w14:paraId="7BC4844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3D142D54">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1BF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0" w:type="auto"/>
            <w:tcBorders>
              <w:top w:val="single" w:color="auto" w:sz="4" w:space="0"/>
              <w:left w:val="single" w:color="auto" w:sz="4" w:space="0"/>
              <w:bottom w:val="single" w:color="auto" w:sz="4" w:space="0"/>
              <w:right w:val="single" w:color="auto" w:sz="4" w:space="0"/>
            </w:tcBorders>
            <w:vAlign w:val="center"/>
          </w:tcPr>
          <w:p w14:paraId="25DD872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T3、根据投标人的人员培训方案进行评价：</w:t>
            </w:r>
          </w:p>
          <w:p w14:paraId="6107AD4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制定的人员培训方案至少包含培训计划、培训内容、培训讲师、培训课时安排，方案能够满足本项目需求的得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.8分；培训方案突出培训重难点、并有相应措施，人员安排、课时安排合理有序，有达到预期目标的考核机制，确保培训内容符合项目需求的得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w:t>
            </w:r>
          </w:p>
          <w:p w14:paraId="7E8FD09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6E4303FA">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4F36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38246A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T4、根据投标人的人员配备方案进行评价：</w:t>
            </w:r>
          </w:p>
          <w:p w14:paraId="2EFAA6F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制定的人员配备方案至少包含人员招聘、人员岗位职责、人员能力要求、人员考核，方案能够满足本项目需求的得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.8分；人员配备方案能确保各类人员配置齐全、科学，人员持有专业上岗证（如健康合格证、上岗/护工合格证/健康照护证等；人员考核有奖罚淘汰制度，有助于提升本项目服务的得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w:t>
            </w:r>
          </w:p>
          <w:p w14:paraId="60E4188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298E3290">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590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A666E2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T5、根据投标人的应急突发事件处理预案进行评价：</w:t>
            </w:r>
          </w:p>
          <w:p w14:paraId="5F5AEF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制定的应急预案至少包含日常服务保障措施、各类突发事件的保障措施，方案能够满足本项目需求的得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.8分；制定的方案有结合医院的实际情况，具有针对性，制定有疫情期间服务方案，能有效处理各种突发情况，提升本项目服务的得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w:t>
            </w:r>
          </w:p>
          <w:p w14:paraId="3F3B22A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其他情况不得分。</w:t>
            </w:r>
          </w:p>
        </w:tc>
        <w:tc>
          <w:tcPr>
            <w:tcW w:w="0" w:type="auto"/>
            <w:tcBorders>
              <w:top w:val="single" w:color="auto" w:sz="4" w:space="0"/>
              <w:left w:val="single" w:color="auto" w:sz="4" w:space="0"/>
              <w:bottom w:val="single" w:color="auto" w:sz="4" w:space="0"/>
              <w:right w:val="single" w:color="auto" w:sz="4" w:space="0"/>
            </w:tcBorders>
            <w:vAlign w:val="center"/>
          </w:tcPr>
          <w:p w14:paraId="5AADCFC3">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57CB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6A1811D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6、投标人自行选择一种情况制定一天的陪护方案，根据制定的患者服务计划进行评价：服务计划按时间顺序安排患者全天应做事项，对护理员应完成事项内容、标准、质量有明确要求，基本满足医疗护理需求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.8分；有制定患者突发情况处理方案，有提出更高的服务质量标准，列明护理需投入的工具设备的得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870BB39">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5408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0" w:type="auto"/>
            <w:tcBorders>
              <w:top w:val="single" w:color="auto" w:sz="4" w:space="0"/>
              <w:left w:val="single" w:color="auto" w:sz="4" w:space="0"/>
              <w:bottom w:val="single" w:color="auto" w:sz="4" w:space="0"/>
              <w:right w:val="single" w:color="auto" w:sz="4" w:space="0"/>
            </w:tcBorders>
            <w:vAlign w:val="center"/>
          </w:tcPr>
          <w:p w14:paraId="4712AE0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T7、投标人对不同级别护理要求有明确的服务标准和内容，内容清晰、科学合理，符合相关标准规范的得</w:t>
            </w:r>
            <w:r>
              <w:rPr>
                <w:rFonts w:hint="eastAsia" w:asciiTheme="minorEastAsia" w:hAnsiTheme="minorEastAsia" w:eastAsiaTheme="minorEastAsia"/>
                <w:bCs/>
                <w:sz w:val="26"/>
                <w:szCs w:val="26"/>
                <w:lang w:val="en-US" w:eastAsia="zh-CN"/>
              </w:rPr>
              <w:t>3</w:t>
            </w:r>
            <w:r>
              <w:rPr>
                <w:rFonts w:asciiTheme="minorEastAsia" w:hAnsiTheme="minorEastAsia" w:eastAsiaTheme="minorEastAsia"/>
                <w:bCs/>
                <w:sz w:val="26"/>
                <w:szCs w:val="26"/>
              </w:rPr>
              <w:t>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2AA8DA5">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2EE2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0" w:type="auto"/>
            <w:tcBorders>
              <w:top w:val="single" w:color="auto" w:sz="4" w:space="0"/>
              <w:left w:val="single" w:color="auto" w:sz="4" w:space="0"/>
              <w:bottom w:val="single" w:color="auto" w:sz="4" w:space="0"/>
              <w:right w:val="single" w:color="auto" w:sz="4" w:space="0"/>
            </w:tcBorders>
            <w:vAlign w:val="center"/>
          </w:tcPr>
          <w:p w14:paraId="402C13E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T8、服务响应能力：</w:t>
            </w:r>
            <w:r>
              <w:rPr>
                <w:rFonts w:asciiTheme="minorEastAsia" w:hAnsiTheme="minorEastAsia" w:eastAsiaTheme="minorEastAsia"/>
                <w:bCs/>
                <w:sz w:val="26"/>
                <w:szCs w:val="26"/>
                <w:highlight w:val="none"/>
              </w:rPr>
              <w:t>有服务需求时响应时间</w:t>
            </w:r>
            <w:r>
              <w:rPr>
                <w:rFonts w:hint="eastAsia" w:asciiTheme="minorEastAsia" w:hAnsiTheme="minorEastAsia" w:eastAsiaTheme="minorEastAsia"/>
                <w:bCs/>
                <w:sz w:val="26"/>
                <w:szCs w:val="26"/>
                <w:highlight w:val="none"/>
                <w:lang w:val="en-US" w:eastAsia="zh-CN"/>
              </w:rPr>
              <w:t>1</w:t>
            </w:r>
            <w:r>
              <w:rPr>
                <w:rFonts w:hint="eastAsia" w:asciiTheme="minorEastAsia" w:hAnsiTheme="minorEastAsia" w:eastAsiaTheme="minorEastAsia"/>
                <w:bCs/>
                <w:sz w:val="26"/>
                <w:szCs w:val="26"/>
                <w:highlight w:val="none"/>
              </w:rPr>
              <w:t>＜</w:t>
            </w:r>
            <w:r>
              <w:rPr>
                <w:rFonts w:hint="eastAsia" w:asciiTheme="minorEastAsia" w:hAnsiTheme="minorEastAsia" w:eastAsiaTheme="minorEastAsia"/>
                <w:bCs/>
                <w:sz w:val="26"/>
                <w:szCs w:val="26"/>
                <w:highlight w:val="none"/>
                <w:lang w:val="en-US" w:eastAsia="zh-CN"/>
              </w:rPr>
              <w:t>T</w:t>
            </w:r>
            <w:r>
              <w:rPr>
                <w:rFonts w:asciiTheme="minorEastAsia" w:hAnsiTheme="minorEastAsia" w:eastAsiaTheme="minorEastAsia"/>
                <w:bCs/>
                <w:sz w:val="26"/>
                <w:szCs w:val="26"/>
                <w:highlight w:val="none"/>
              </w:rPr>
              <w:t>≤2小时的得1分，</w:t>
            </w:r>
            <w:r>
              <w:rPr>
                <w:rFonts w:hint="eastAsia" w:asciiTheme="minorEastAsia" w:hAnsiTheme="minorEastAsia" w:eastAsiaTheme="minorEastAsia"/>
                <w:bCs/>
                <w:sz w:val="26"/>
                <w:szCs w:val="26"/>
                <w:highlight w:val="none"/>
                <w:lang w:val="en-US" w:eastAsia="zh-CN"/>
              </w:rPr>
              <w:t>T</w:t>
            </w:r>
            <w:r>
              <w:rPr>
                <w:rFonts w:asciiTheme="minorEastAsia" w:hAnsiTheme="minorEastAsia" w:eastAsiaTheme="minorEastAsia"/>
                <w:bCs/>
                <w:sz w:val="26"/>
                <w:szCs w:val="26"/>
                <w:highlight w:val="none"/>
              </w:rPr>
              <w:t>≤1小时的得</w:t>
            </w:r>
            <w:r>
              <w:rPr>
                <w:rFonts w:hint="eastAsia" w:asciiTheme="minorEastAsia" w:hAnsiTheme="minorEastAsia" w:eastAsiaTheme="minorEastAsia"/>
                <w:bCs/>
                <w:sz w:val="26"/>
                <w:szCs w:val="26"/>
                <w:highlight w:val="none"/>
                <w:lang w:val="en-US" w:eastAsia="zh-CN"/>
              </w:rPr>
              <w:t>3</w:t>
            </w:r>
            <w:r>
              <w:rPr>
                <w:rFonts w:asciiTheme="minorEastAsia" w:hAnsiTheme="minorEastAsia" w:eastAsiaTheme="minorEastAsia"/>
                <w:bCs/>
                <w:sz w:val="26"/>
                <w:szCs w:val="26"/>
                <w:highlight w:val="none"/>
              </w:rPr>
              <w:t>分。</w:t>
            </w:r>
            <w:r>
              <w:rPr>
                <w:rFonts w:asciiTheme="minorEastAsia" w:hAnsiTheme="minorEastAsia" w:eastAsiaTheme="minorEastAsia"/>
                <w:bCs/>
                <w:sz w:val="26"/>
                <w:szCs w:val="26"/>
              </w:rPr>
              <w:t>需提供承诺函，否则不得分。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604BD63">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3</w:t>
            </w:r>
          </w:p>
        </w:tc>
      </w:tr>
      <w:tr w14:paraId="5AEF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0" w:type="auto"/>
            <w:tcBorders>
              <w:top w:val="single" w:color="auto" w:sz="4" w:space="0"/>
              <w:left w:val="single" w:color="auto" w:sz="4" w:space="0"/>
              <w:bottom w:val="single" w:color="auto" w:sz="4" w:space="0"/>
              <w:right w:val="single" w:color="auto" w:sz="4" w:space="0"/>
            </w:tcBorders>
            <w:vAlign w:val="center"/>
          </w:tcPr>
          <w:p w14:paraId="01929F2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T9、投标人承诺：如中标，将需严格按照《陪护人员缺陷管理制度》、《治安及消防安全要求细则》执行。提供承诺的得</w:t>
            </w:r>
            <w:r>
              <w:rPr>
                <w:rFonts w:hint="eastAsia" w:asciiTheme="minorEastAsia" w:hAnsiTheme="minorEastAsia" w:eastAsiaTheme="minorEastAsia"/>
                <w:bCs/>
                <w:sz w:val="26"/>
                <w:szCs w:val="26"/>
                <w:lang w:val="en-US" w:eastAsia="zh-CN"/>
              </w:rPr>
              <w:t>1</w:t>
            </w:r>
            <w:r>
              <w:rPr>
                <w:rFonts w:asciiTheme="minorEastAsia" w:hAnsiTheme="minorEastAsia" w:eastAsiaTheme="minorEastAsia"/>
                <w:bCs/>
                <w:sz w:val="26"/>
                <w:szCs w:val="26"/>
              </w:rPr>
              <w:t>分，否则不得分。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0F0A4CF">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1</w:t>
            </w:r>
          </w:p>
        </w:tc>
      </w:tr>
      <w:tr w14:paraId="279D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0" w:type="auto"/>
            <w:tcBorders>
              <w:top w:val="single" w:color="auto" w:sz="4" w:space="0"/>
              <w:left w:val="single" w:color="auto" w:sz="4" w:space="0"/>
              <w:bottom w:val="single" w:color="auto" w:sz="4" w:space="0"/>
              <w:right w:val="single" w:color="auto" w:sz="4" w:space="0"/>
            </w:tcBorders>
            <w:vAlign w:val="center"/>
          </w:tcPr>
          <w:p w14:paraId="32879E5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T10、根据投标人拟投入本项目的项目经理（项目负责人）情况进行评价：</w:t>
            </w:r>
          </w:p>
          <w:p w14:paraId="17D19D9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（1）具有全日制大学本科（护理学专业）或以上学历的得1分，否则不得分。</w:t>
            </w:r>
          </w:p>
          <w:p w14:paraId="253E803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（2）持有《护士执业证书》得1分，否则不得分。</w:t>
            </w:r>
          </w:p>
          <w:p w14:paraId="69C909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（3）持有中级或以上护理相关证书的得2分，否则不得分。</w:t>
            </w:r>
          </w:p>
          <w:p w14:paraId="60853A4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（4）具有从事三级甲等医院管理工作经验四年及以上的得2分，需提供医院出具的证明，否则不得分。</w:t>
            </w:r>
          </w:p>
          <w:p w14:paraId="721A202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(5)具备国家级护理员/护工培训师资证书得2分，否则不得分。</w:t>
            </w:r>
          </w:p>
          <w:p w14:paraId="5030CCF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注：需提供项目经理身份证复印件、劳动合同、投标人为其缴纳社保的证明（近六个月任一个月，不含开标当月），以及评分对应的证书、证明，否则不得分。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B347C9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8</w:t>
            </w:r>
          </w:p>
        </w:tc>
      </w:tr>
      <w:tr w14:paraId="1B8A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36E28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T11、根据投标人拟投入本项目的其他人员情况进行评价：</w:t>
            </w:r>
          </w:p>
          <w:p w14:paraId="741B6DE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（1）投标人承诺为本项目配置的现场管理人员2人（含）以上（除项目经理外）的得1分，需提供承诺函，否则不得分。</w:t>
            </w:r>
          </w:p>
          <w:p w14:paraId="5B5531A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（2）现场管理人员（2人含以上）均为大专（护理学专业）或以上毕业的得2分，未提供不得分。</w:t>
            </w:r>
          </w:p>
          <w:p w14:paraId="6E5FC18A">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（3）现场管理人员（2人含以上）均持有卫生专业技术资格中级护理学证书的得2分，未提供不得分。</w:t>
            </w:r>
          </w:p>
          <w:p w14:paraId="4A4BF37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注：需提供人员身份证复印件、劳动合同、投标人为其缴纳社保的证明（近六个月任一个月，不含开标当月），以及评分对应的证书、证明，否则不得分。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5EC736B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w:t>
            </w:r>
          </w:p>
        </w:tc>
      </w:tr>
      <w:tr w14:paraId="3DA7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0" w:type="auto"/>
            <w:tcBorders>
              <w:top w:val="single" w:color="auto" w:sz="4" w:space="0"/>
              <w:left w:val="single" w:color="auto" w:sz="4" w:space="0"/>
              <w:bottom w:val="single" w:color="auto" w:sz="4" w:space="0"/>
              <w:right w:val="single" w:color="auto" w:sz="4" w:space="0"/>
            </w:tcBorders>
            <w:vAlign w:val="center"/>
          </w:tcPr>
          <w:p w14:paraId="52B4FEE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T12、投标人完全满足招标文件 “技术和服务要求”的得</w:t>
            </w:r>
            <w:r>
              <w:rPr>
                <w:rFonts w:hint="eastAsia" w:asciiTheme="minorEastAsia" w:hAnsiTheme="minorEastAsia" w:eastAsiaTheme="minorEastAsia"/>
                <w:bCs/>
                <w:sz w:val="26"/>
                <w:szCs w:val="26"/>
                <w:lang w:val="en-US" w:eastAsia="zh-CN"/>
              </w:rPr>
              <w:t>34</w:t>
            </w:r>
            <w:r>
              <w:rPr>
                <w:rFonts w:asciiTheme="minorEastAsia" w:hAnsiTheme="minorEastAsia" w:eastAsiaTheme="minorEastAsia"/>
                <w:bCs/>
                <w:sz w:val="26"/>
                <w:szCs w:val="26"/>
              </w:rPr>
              <w:t>分，每有1项不满足扣2分，扣完为止投标人需作出明确的响应承诺，否则不得分。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04A4B45A">
            <w:pPr>
              <w:pStyle w:val="45"/>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34</w:t>
            </w:r>
          </w:p>
        </w:tc>
      </w:tr>
      <w:tr w14:paraId="1B25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0" w:type="auto"/>
            <w:tcBorders>
              <w:top w:val="single" w:color="auto" w:sz="4" w:space="0"/>
              <w:left w:val="single" w:color="auto" w:sz="4" w:space="0"/>
              <w:bottom w:val="single" w:color="auto" w:sz="4" w:space="0"/>
              <w:right w:val="single" w:color="auto" w:sz="4" w:space="0"/>
            </w:tcBorders>
            <w:vAlign w:val="center"/>
          </w:tcPr>
          <w:p w14:paraId="25B0829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商务项（F3×A3）满分为</w:t>
            </w:r>
            <w:r>
              <w:rPr>
                <w:rFonts w:hint="eastAsia" w:asciiTheme="minorEastAsia" w:hAnsiTheme="minorEastAsia" w:eastAsiaTheme="minorEastAsia"/>
                <w:bCs/>
                <w:sz w:val="26"/>
                <w:szCs w:val="26"/>
                <w:lang w:val="en-US" w:eastAsia="zh-CN"/>
              </w:rPr>
              <w:t>28</w:t>
            </w:r>
            <w:r>
              <w:rPr>
                <w:rFonts w:asciiTheme="minorEastAsia" w:hAnsiTheme="minorEastAsia" w:eastAsiaTheme="minorEastAsia"/>
                <w:bCs/>
                <w:sz w:val="26"/>
                <w:szCs w:val="26"/>
              </w:rPr>
              <w:t>.00分</w:t>
            </w:r>
          </w:p>
        </w:tc>
        <w:tc>
          <w:tcPr>
            <w:tcW w:w="0" w:type="auto"/>
            <w:tcBorders>
              <w:top w:val="single" w:color="auto" w:sz="4" w:space="0"/>
              <w:left w:val="single" w:color="auto" w:sz="4" w:space="0"/>
              <w:bottom w:val="single" w:color="auto" w:sz="4" w:space="0"/>
              <w:right w:val="single" w:color="auto" w:sz="4" w:space="0"/>
            </w:tcBorders>
            <w:vAlign w:val="center"/>
          </w:tcPr>
          <w:p w14:paraId="7F8E8F87">
            <w:pPr>
              <w:pStyle w:val="45"/>
              <w:jc w:val="both"/>
              <w:rPr>
                <w:rFonts w:cs="宋体" w:asciiTheme="minorEastAsia" w:hAnsiTheme="minorEastAsia" w:eastAsiaTheme="minorEastAsia"/>
                <w:sz w:val="24"/>
                <w:lang w:bidi="ar"/>
              </w:rPr>
            </w:pPr>
          </w:p>
        </w:tc>
      </w:tr>
      <w:tr w14:paraId="1E36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4C6DBA0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B1、根据投标人的体系认证情况进行评价：</w:t>
            </w:r>
          </w:p>
          <w:p w14:paraId="2887592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（1）投标人通过质量管理体系认证的得1分，否则不得分。</w:t>
            </w:r>
          </w:p>
          <w:p w14:paraId="6B74954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（2）投标人通过环境管理体系认证的得1分，否则不得分。</w:t>
            </w:r>
          </w:p>
          <w:p w14:paraId="729053CE">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（3）投标人通过职业健康安全管理体系认证的得1分，否则不得分。</w:t>
            </w:r>
          </w:p>
          <w:p w14:paraId="25EC05E4">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（4）投标人通过企业诚信管理体系认证的得1分，否则不得分。</w:t>
            </w:r>
          </w:p>
          <w:p w14:paraId="6AAABFA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（5）投标人通过信息安全管理体系认证的得1分，否则不得分。</w:t>
            </w:r>
          </w:p>
          <w:p w14:paraId="3386B8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（6）投标人通过社会责任管理体系认证的得1分，否则不得分。</w:t>
            </w:r>
          </w:p>
          <w:p w14:paraId="6002B32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以上需同时提供认证证书扫描件和全国认证认可信息公共服务平台（网址：http://cx.cnca.cn）的网页查询截图（截图内容至少包含但不限于证书编号、证书状态、证书到期日期、组织名称、发证机构名称）并体现网址，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629F8ED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6</w:t>
            </w:r>
          </w:p>
        </w:tc>
      </w:tr>
      <w:tr w14:paraId="460F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67ED35D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B2、投标人为本项目投入护理或护工管理系统的得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分，需提供系统的软件著作权登记证书，未提供不得分。</w:t>
            </w:r>
          </w:p>
          <w:p w14:paraId="6F8491C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为保障信息安全，投标人通过三级信息系统安全等级保护备案的得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分，提供相关证明材料，未提供不得分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4BD85A60">
            <w:pPr>
              <w:pStyle w:val="45"/>
              <w:jc w:val="both"/>
              <w:rPr>
                <w:rFonts w:hint="default" w:asciiTheme="minorEastAsia" w:hAnsiTheme="minorEastAsia" w:eastAsiaTheme="minorEastAsia"/>
                <w:bCs/>
                <w:sz w:val="26"/>
                <w:szCs w:val="26"/>
                <w:lang w:val="en-US" w:eastAsia="zh-CN"/>
              </w:rPr>
            </w:pPr>
            <w:r>
              <w:rPr>
                <w:rFonts w:hint="eastAsia" w:asciiTheme="minorEastAsia" w:hAnsiTheme="minorEastAsia" w:eastAsiaTheme="minorEastAsia"/>
                <w:bCs/>
                <w:sz w:val="26"/>
                <w:szCs w:val="26"/>
                <w:lang w:val="en-US" w:eastAsia="zh-CN"/>
              </w:rPr>
              <w:t>4</w:t>
            </w:r>
          </w:p>
        </w:tc>
      </w:tr>
      <w:tr w14:paraId="30A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3DC7FD83">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B3、投标人承诺在本项目使用管理系统软件并提供相关技术与医院对接得</w:t>
            </w:r>
            <w:r>
              <w:rPr>
                <w:rFonts w:hint="eastAsia" w:asciiTheme="minorEastAsia" w:hAnsiTheme="minorEastAsia" w:eastAsiaTheme="minorEastAsia"/>
                <w:bCs/>
                <w:sz w:val="26"/>
                <w:szCs w:val="26"/>
                <w:lang w:val="en-US" w:eastAsia="zh-CN"/>
              </w:rPr>
              <w:t>2</w:t>
            </w:r>
            <w:r>
              <w:rPr>
                <w:rFonts w:asciiTheme="minorEastAsia" w:hAnsiTheme="minorEastAsia" w:eastAsiaTheme="minorEastAsia"/>
                <w:bCs/>
                <w:sz w:val="26"/>
                <w:szCs w:val="26"/>
              </w:rPr>
              <w:t>分，需提供承诺函，否则不得分。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3C5554D8">
            <w:pPr>
              <w:pStyle w:val="45"/>
              <w:jc w:val="both"/>
              <w:rPr>
                <w:rFonts w:hint="eastAsia" w:asciiTheme="minorEastAsia" w:hAnsiTheme="minorEastAsia" w:eastAsiaTheme="minorEastAsia"/>
                <w:bCs/>
                <w:sz w:val="26"/>
                <w:szCs w:val="26"/>
                <w:lang w:eastAsia="zh-CN"/>
              </w:rPr>
            </w:pPr>
            <w:r>
              <w:rPr>
                <w:rFonts w:hint="eastAsia" w:asciiTheme="minorEastAsia" w:hAnsiTheme="minorEastAsia" w:eastAsiaTheme="minorEastAsia"/>
                <w:bCs/>
                <w:sz w:val="26"/>
                <w:szCs w:val="26"/>
                <w:lang w:val="en-US" w:eastAsia="zh-CN"/>
              </w:rPr>
              <w:t>2</w:t>
            </w:r>
          </w:p>
        </w:tc>
      </w:tr>
      <w:tr w14:paraId="4EF7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B918A9D">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B4、投标人为护理人员购买团体意外险的得2分，需提供保单复印件及加盖公章，否则不得分。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197F980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014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7700FFA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B5、投标人购买第三者责任保险（每次事故赔偿不低于500万元）的得2分，需提供保单复印件及加盖公章，否则不得分。</w:t>
            </w:r>
          </w:p>
        </w:tc>
        <w:tc>
          <w:tcPr>
            <w:tcW w:w="0" w:type="auto"/>
            <w:tcBorders>
              <w:top w:val="single" w:color="auto" w:sz="4" w:space="0"/>
              <w:left w:val="single" w:color="auto" w:sz="4" w:space="0"/>
              <w:bottom w:val="single" w:color="auto" w:sz="4" w:space="0"/>
              <w:right w:val="single" w:color="auto" w:sz="4" w:space="0"/>
            </w:tcBorders>
            <w:vAlign w:val="center"/>
          </w:tcPr>
          <w:p w14:paraId="7C5C7019">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2</w:t>
            </w:r>
          </w:p>
        </w:tc>
      </w:tr>
      <w:tr w14:paraId="598C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0" w:type="auto"/>
            <w:tcBorders>
              <w:top w:val="single" w:color="auto" w:sz="4" w:space="0"/>
              <w:left w:val="single" w:color="auto" w:sz="4" w:space="0"/>
              <w:bottom w:val="single" w:color="auto" w:sz="4" w:space="0"/>
              <w:right w:val="single" w:color="auto" w:sz="4" w:space="0"/>
            </w:tcBorders>
            <w:vAlign w:val="center"/>
          </w:tcPr>
          <w:p w14:paraId="5BB72F70">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B6、服务质量：根据投标人提供</w:t>
            </w:r>
            <w:r>
              <w:rPr>
                <w:rFonts w:asciiTheme="minorEastAsia" w:hAnsiTheme="minorEastAsia" w:eastAsiaTheme="minorEastAsia"/>
                <w:bCs/>
                <w:sz w:val="26"/>
                <w:szCs w:val="26"/>
                <w:highlight w:val="none"/>
              </w:rPr>
              <w:t>202</w:t>
            </w:r>
            <w:r>
              <w:rPr>
                <w:rFonts w:hint="eastAsia" w:asciiTheme="minorEastAsia" w:hAnsiTheme="minorEastAsia" w:eastAsiaTheme="minorEastAsia"/>
                <w:bCs/>
                <w:sz w:val="26"/>
                <w:szCs w:val="26"/>
                <w:highlight w:val="none"/>
                <w:lang w:val="en-US" w:eastAsia="zh-CN"/>
              </w:rPr>
              <w:t>2</w:t>
            </w:r>
            <w:r>
              <w:rPr>
                <w:rFonts w:asciiTheme="minorEastAsia" w:hAnsiTheme="minorEastAsia" w:eastAsiaTheme="minorEastAsia"/>
                <w:bCs/>
                <w:sz w:val="26"/>
                <w:szCs w:val="26"/>
              </w:rPr>
              <w:t>年1月1日起至投标截至时间止，所在服务的三甲医院获得的服务满意证明材料进行评价：具有6个（含）以上医院出具的服务满意证明材料，每提供一个得0.5分，满分3分，否则不得分。</w:t>
            </w:r>
          </w:p>
          <w:p w14:paraId="2EBB69B8">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注：服务满意证明材料包括：出具业主单位（或主管部门）盖章的服务满意证明文件（满意度在90分（含）以上）及双方签订的合同复印件。</w:t>
            </w:r>
          </w:p>
        </w:tc>
        <w:tc>
          <w:tcPr>
            <w:tcW w:w="0" w:type="auto"/>
            <w:tcBorders>
              <w:top w:val="single" w:color="auto" w:sz="4" w:space="0"/>
              <w:left w:val="single" w:color="auto" w:sz="4" w:space="0"/>
              <w:bottom w:val="single" w:color="auto" w:sz="4" w:space="0"/>
              <w:right w:val="single" w:color="auto" w:sz="4" w:space="0"/>
            </w:tcBorders>
            <w:vAlign w:val="center"/>
          </w:tcPr>
          <w:p w14:paraId="66D37715">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4DD5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0" w:type="auto"/>
            <w:tcBorders>
              <w:top w:val="single" w:color="auto" w:sz="4" w:space="0"/>
              <w:left w:val="single" w:color="auto" w:sz="4" w:space="0"/>
              <w:bottom w:val="single" w:color="auto" w:sz="4" w:space="0"/>
              <w:right w:val="single" w:color="auto" w:sz="4" w:space="0"/>
            </w:tcBorders>
            <w:vAlign w:val="center"/>
          </w:tcPr>
          <w:p w14:paraId="12691A2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B7、根据投标人</w:t>
            </w:r>
            <w:r>
              <w:rPr>
                <w:rFonts w:asciiTheme="minorEastAsia" w:hAnsiTheme="minorEastAsia" w:eastAsiaTheme="minorEastAsia"/>
                <w:bCs/>
                <w:sz w:val="26"/>
                <w:szCs w:val="26"/>
                <w:highlight w:val="none"/>
              </w:rPr>
              <w:t>202</w:t>
            </w:r>
            <w:r>
              <w:rPr>
                <w:rFonts w:hint="eastAsia" w:asciiTheme="minorEastAsia" w:hAnsiTheme="minorEastAsia" w:eastAsiaTheme="minorEastAsia"/>
                <w:bCs/>
                <w:sz w:val="26"/>
                <w:szCs w:val="26"/>
                <w:highlight w:val="none"/>
                <w:lang w:val="en-US" w:eastAsia="zh-CN"/>
              </w:rPr>
              <w:t>2</w:t>
            </w:r>
            <w:r>
              <w:rPr>
                <w:rFonts w:asciiTheme="minorEastAsia" w:hAnsiTheme="minorEastAsia" w:eastAsiaTheme="minorEastAsia"/>
                <w:bCs/>
                <w:sz w:val="26"/>
                <w:szCs w:val="26"/>
              </w:rPr>
              <w:t>年1月1日至今（以合同签订时间为准）类似医疗机构病患陪护服务的经营业绩的有效证明文件进行评价，有效证明文件包括该业绩的：</w:t>
            </w:r>
          </w:p>
          <w:p w14:paraId="651DBB9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①中标（成交）公告（提供相关网站中标（成交）公告的下载网页及其网址）；</w:t>
            </w:r>
          </w:p>
          <w:p w14:paraId="40B24CC6">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②中标（成交）通知书复印件；</w:t>
            </w:r>
          </w:p>
          <w:p w14:paraId="13381542">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③采购合同文本复印件（必须体现有护理、护工、陪护、生活照料、医疗生活护理等关键字之一）；</w:t>
            </w:r>
          </w:p>
          <w:p w14:paraId="3B7B585B">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上述证明三项齐全。每个有效业绩得1分，满分3分。未按要求提供完整证明资料的业绩将不予计分。</w:t>
            </w:r>
          </w:p>
        </w:tc>
        <w:tc>
          <w:tcPr>
            <w:tcW w:w="0" w:type="auto"/>
            <w:tcBorders>
              <w:top w:val="single" w:color="auto" w:sz="4" w:space="0"/>
              <w:left w:val="single" w:color="auto" w:sz="4" w:space="0"/>
              <w:bottom w:val="single" w:color="auto" w:sz="4" w:space="0"/>
              <w:right w:val="single" w:color="auto" w:sz="4" w:space="0"/>
            </w:tcBorders>
            <w:vAlign w:val="center"/>
          </w:tcPr>
          <w:p w14:paraId="05F973A1">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r w14:paraId="03DA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0" w:type="auto"/>
            <w:tcBorders>
              <w:top w:val="single" w:color="auto" w:sz="4" w:space="0"/>
              <w:left w:val="single" w:color="auto" w:sz="4" w:space="0"/>
              <w:bottom w:val="single" w:color="auto" w:sz="4" w:space="0"/>
              <w:right w:val="single" w:color="auto" w:sz="4" w:space="0"/>
            </w:tcBorders>
            <w:vAlign w:val="center"/>
          </w:tcPr>
          <w:p w14:paraId="3A0C6E7F">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B8、投标人近两年参加国家级医疗护理员大赛并取得荣誉的得3分，需提供荣誉证书，未提供不得分。</w:t>
            </w:r>
          </w:p>
        </w:tc>
        <w:tc>
          <w:tcPr>
            <w:tcW w:w="0" w:type="auto"/>
            <w:tcBorders>
              <w:top w:val="single" w:color="auto" w:sz="4" w:space="0"/>
              <w:left w:val="single" w:color="auto" w:sz="4" w:space="0"/>
              <w:bottom w:val="single" w:color="auto" w:sz="4" w:space="0"/>
              <w:right w:val="single" w:color="auto" w:sz="4" w:space="0"/>
            </w:tcBorders>
            <w:vAlign w:val="center"/>
          </w:tcPr>
          <w:p w14:paraId="09F7D608">
            <w:pPr>
              <w:pStyle w:val="45"/>
              <w:jc w:val="both"/>
              <w:rPr>
                <w:rFonts w:asciiTheme="minorEastAsia" w:hAnsiTheme="minorEastAsia" w:eastAsiaTheme="minorEastAsia"/>
                <w:sz w:val="24"/>
              </w:rPr>
            </w:pPr>
            <w:r>
              <w:rPr>
                <w:rFonts w:asciiTheme="minorEastAsia" w:hAnsiTheme="minorEastAsia" w:eastAsiaTheme="minorEastAsia"/>
                <w:spacing w:val="-12"/>
                <w:sz w:val="24"/>
              </w:rPr>
              <w:t>3</w:t>
            </w:r>
          </w:p>
        </w:tc>
      </w:tr>
      <w:tr w14:paraId="7F3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0" w:type="auto"/>
            <w:tcBorders>
              <w:top w:val="single" w:color="auto" w:sz="4" w:space="0"/>
              <w:left w:val="single" w:color="auto" w:sz="4" w:space="0"/>
              <w:bottom w:val="single" w:color="auto" w:sz="4" w:space="0"/>
              <w:right w:val="single" w:color="auto" w:sz="4" w:space="0"/>
            </w:tcBorders>
            <w:vAlign w:val="center"/>
          </w:tcPr>
          <w:p w14:paraId="78E88ECC">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B9、投标人参与护理员基本知识与技能相关丛书编制得3分，丛书为发行类刊物，有期刊书号。须提供相关证明材料并加盖公章，不提供或不符合要求不得分。</w:t>
            </w:r>
          </w:p>
        </w:tc>
        <w:tc>
          <w:tcPr>
            <w:tcW w:w="0" w:type="auto"/>
            <w:tcBorders>
              <w:top w:val="single" w:color="auto" w:sz="4" w:space="0"/>
              <w:left w:val="single" w:color="auto" w:sz="4" w:space="0"/>
              <w:bottom w:val="single" w:color="auto" w:sz="4" w:space="0"/>
              <w:right w:val="single" w:color="auto" w:sz="4" w:space="0"/>
            </w:tcBorders>
            <w:vAlign w:val="center"/>
          </w:tcPr>
          <w:p w14:paraId="0CBB0ED7">
            <w:pPr>
              <w:pStyle w:val="45"/>
              <w:jc w:val="both"/>
              <w:rPr>
                <w:rFonts w:asciiTheme="minorEastAsia" w:hAnsiTheme="minorEastAsia" w:eastAsiaTheme="minorEastAsia"/>
                <w:bCs/>
                <w:sz w:val="26"/>
                <w:szCs w:val="26"/>
              </w:rPr>
            </w:pPr>
            <w:r>
              <w:rPr>
                <w:rFonts w:asciiTheme="minorEastAsia" w:hAnsiTheme="minorEastAsia" w:eastAsiaTheme="minorEastAsia"/>
                <w:bCs/>
                <w:sz w:val="26"/>
                <w:szCs w:val="26"/>
              </w:rPr>
              <w:t>3</w:t>
            </w:r>
          </w:p>
        </w:tc>
      </w:tr>
    </w:tbl>
    <w:p w14:paraId="2CD1E2D3">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14CC01E8">
      <w:pPr>
        <w:pStyle w:val="12"/>
        <w:ind w:firstLine="0"/>
        <w:jc w:val="center"/>
        <w:rPr>
          <w:rFonts w:hint="eastAsia" w:asciiTheme="minorEastAsia" w:hAnsiTheme="minorEastAsia" w:eastAsiaTheme="minorEastAsia"/>
        </w:rPr>
      </w:pPr>
      <w:r>
        <w:rPr>
          <w:rFonts w:hint="eastAsia" w:asciiTheme="minorEastAsia" w:hAnsiTheme="minorEastAsia" w:eastAsiaTheme="minorEastAsia"/>
          <w:b/>
          <w:sz w:val="28"/>
          <w:szCs w:val="28"/>
        </w:rPr>
        <w:t>一、投标书</w:t>
      </w:r>
    </w:p>
    <w:p w14:paraId="7171E371">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致：福建省肿瘤医院</w:t>
      </w:r>
    </w:p>
    <w:p w14:paraId="392F4ECD">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
          <w:sz w:val="28"/>
          <w:szCs w:val="28"/>
          <w:u w:val="single"/>
        </w:rPr>
        <w:t xml:space="preserve">：      </w:t>
      </w:r>
      <w:r>
        <w:rPr>
          <w:rFonts w:hint="eastAsia" w:asciiTheme="minorEastAsia" w:hAnsiTheme="minorEastAsia" w:eastAsiaTheme="minorEastAsia"/>
          <w:sz w:val="28"/>
          <w:szCs w:val="28"/>
          <w:u w:val="single"/>
        </w:rPr>
        <w:t xml:space="preserve">  （小写：           ）</w:t>
      </w:r>
      <w:r>
        <w:rPr>
          <w:rFonts w:hint="eastAsia" w:asciiTheme="minorEastAsia" w:hAnsiTheme="minorEastAsia" w:eastAsiaTheme="minorEastAsia"/>
          <w:sz w:val="28"/>
          <w:szCs w:val="28"/>
        </w:rPr>
        <w:t>的投标报价并按上述条款、标准要求承包上述项目，并承担任何质量缺陷保修责任。</w:t>
      </w:r>
    </w:p>
    <w:p w14:paraId="66EEE5E9">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2、我方已详细审核全部招标文件及有关附件。</w:t>
      </w:r>
    </w:p>
    <w:p w14:paraId="75F71ADF">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3、一旦我方中标，我方保证质量达到</w:t>
      </w:r>
      <w:r>
        <w:rPr>
          <w:rFonts w:hint="eastAsia" w:asciiTheme="minorEastAsia" w:hAnsiTheme="minorEastAsia" w:eastAsiaTheme="minorEastAsia"/>
          <w:b/>
          <w:sz w:val="28"/>
          <w:szCs w:val="28"/>
          <w:u w:val="single"/>
        </w:rPr>
        <w:t>投标须知、投标文件等规定</w:t>
      </w:r>
      <w:r>
        <w:rPr>
          <w:rFonts w:hint="eastAsia" w:asciiTheme="minorEastAsia" w:hAnsiTheme="minorEastAsia" w:eastAsiaTheme="minorEastAsia"/>
          <w:sz w:val="28"/>
          <w:szCs w:val="28"/>
        </w:rPr>
        <w:t>标准。</w:t>
      </w:r>
    </w:p>
    <w:p w14:paraId="23CEC730">
      <w:pPr>
        <w:ind w:firstLine="532" w:firstLineChars="19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4、我方同意所提交的投标文件在招标文件的投标须知中规定的投标有效期内有效，在此期间内如果中标，我方将受此约束。</w:t>
      </w:r>
    </w:p>
    <w:p w14:paraId="4EBC3EC0">
      <w:pPr>
        <w:ind w:firstLine="426"/>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5、除非另外达成协议并生效，你方的中标通知书和本投标文件将成为约束双方的合同文件的组成部分。</w:t>
      </w:r>
    </w:p>
    <w:p w14:paraId="26C01C13">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附件：报价清单</w:t>
      </w:r>
    </w:p>
    <w:p w14:paraId="3301D3F4">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682D0351">
      <w:pPr>
        <w:spacing w:line="360" w:lineRule="exact"/>
        <w:rPr>
          <w:rFonts w:hint="eastAsia" w:asciiTheme="minorEastAsia" w:hAnsiTheme="minorEastAsia" w:eastAsiaTheme="minorEastAsia"/>
          <w:sz w:val="28"/>
          <w:szCs w:val="28"/>
        </w:rPr>
      </w:pPr>
    </w:p>
    <w:p w14:paraId="21E525CD">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单位地址： </w:t>
      </w:r>
    </w:p>
    <w:p w14:paraId="6EE7E81C">
      <w:pPr>
        <w:spacing w:line="360" w:lineRule="exact"/>
        <w:rPr>
          <w:rFonts w:hint="eastAsia" w:asciiTheme="minorEastAsia" w:hAnsiTheme="minorEastAsia" w:eastAsiaTheme="minorEastAsia"/>
          <w:sz w:val="28"/>
          <w:szCs w:val="28"/>
        </w:rPr>
      </w:pPr>
    </w:p>
    <w:p w14:paraId="51C074AE">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法定代表人（签字或盖章）：</w:t>
      </w:r>
    </w:p>
    <w:p w14:paraId="5F491073">
      <w:pPr>
        <w:spacing w:line="360" w:lineRule="exact"/>
        <w:rPr>
          <w:rFonts w:hint="eastAsia" w:asciiTheme="minorEastAsia" w:hAnsiTheme="minorEastAsia" w:eastAsiaTheme="minorEastAsia"/>
          <w:sz w:val="28"/>
          <w:szCs w:val="28"/>
        </w:rPr>
      </w:pPr>
    </w:p>
    <w:p w14:paraId="1108F26F">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邮政编码：         </w:t>
      </w:r>
    </w:p>
    <w:p w14:paraId="1F4939F5">
      <w:pPr>
        <w:spacing w:line="360" w:lineRule="exact"/>
        <w:ind w:firstLine="3220" w:firstLineChars="1150"/>
        <w:rPr>
          <w:rFonts w:hint="eastAsia" w:asciiTheme="minorEastAsia" w:hAnsiTheme="minorEastAsia" w:eastAsiaTheme="minorEastAsia"/>
          <w:sz w:val="28"/>
          <w:szCs w:val="28"/>
        </w:rPr>
      </w:pPr>
    </w:p>
    <w:p w14:paraId="5741373B">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电话：       </w:t>
      </w:r>
    </w:p>
    <w:p w14:paraId="7BF0BA5B">
      <w:pPr>
        <w:spacing w:line="360" w:lineRule="exact"/>
        <w:ind w:firstLine="3220" w:firstLineChars="1150"/>
        <w:rPr>
          <w:rFonts w:hint="eastAsia" w:asciiTheme="minorEastAsia" w:hAnsiTheme="minorEastAsia" w:eastAsiaTheme="minorEastAsia"/>
          <w:sz w:val="28"/>
          <w:szCs w:val="28"/>
        </w:rPr>
      </w:pPr>
    </w:p>
    <w:p w14:paraId="5D2A32C9">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传真：  </w:t>
      </w:r>
    </w:p>
    <w:p w14:paraId="36EB416E">
      <w:pPr>
        <w:spacing w:line="360" w:lineRule="exact"/>
        <w:rPr>
          <w:rFonts w:hint="eastAsia" w:asciiTheme="minorEastAsia" w:hAnsiTheme="minorEastAsia" w:eastAsiaTheme="minorEastAsia"/>
          <w:sz w:val="28"/>
          <w:szCs w:val="28"/>
        </w:rPr>
      </w:pPr>
    </w:p>
    <w:p w14:paraId="7A39EED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开户银行名称： </w:t>
      </w:r>
    </w:p>
    <w:p w14:paraId="1B8C1B00">
      <w:pPr>
        <w:spacing w:line="360" w:lineRule="exact"/>
        <w:rPr>
          <w:rFonts w:hint="eastAsia" w:asciiTheme="minorEastAsia" w:hAnsiTheme="minorEastAsia" w:eastAsiaTheme="minorEastAsia"/>
          <w:sz w:val="28"/>
          <w:szCs w:val="28"/>
        </w:rPr>
      </w:pPr>
    </w:p>
    <w:p w14:paraId="68F49CB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开户银行帐号： </w:t>
      </w:r>
    </w:p>
    <w:p w14:paraId="0B2C66BB">
      <w:pPr>
        <w:spacing w:line="360" w:lineRule="exact"/>
        <w:rPr>
          <w:rFonts w:hint="eastAsia" w:asciiTheme="minorEastAsia" w:hAnsiTheme="minorEastAsia" w:eastAsiaTheme="minorEastAsia"/>
          <w:sz w:val="28"/>
          <w:szCs w:val="28"/>
        </w:rPr>
      </w:pPr>
    </w:p>
    <w:p w14:paraId="416DD665">
      <w:pPr>
        <w:spacing w:line="360" w:lineRule="exact"/>
        <w:jc w:val="cente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开户银行地址：</w:t>
      </w:r>
    </w:p>
    <w:p w14:paraId="2DC6BEF4">
      <w:pPr>
        <w:spacing w:line="360" w:lineRule="exact"/>
        <w:rPr>
          <w:rFonts w:hint="eastAsia" w:asciiTheme="minorEastAsia" w:hAnsiTheme="minorEastAsia" w:eastAsiaTheme="minorEastAsia"/>
          <w:sz w:val="28"/>
          <w:szCs w:val="28"/>
        </w:rPr>
      </w:pPr>
    </w:p>
    <w:p w14:paraId="3C985D73">
      <w:pPr>
        <w:spacing w:line="360" w:lineRule="exact"/>
        <w:ind w:firstLine="3220" w:firstLineChars="11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开户银行电话： </w:t>
      </w:r>
    </w:p>
    <w:p w14:paraId="3C45D134">
      <w:pPr>
        <w:spacing w:line="360" w:lineRule="exact"/>
        <w:ind w:firstLine="600"/>
        <w:rPr>
          <w:rFonts w:hint="eastAsia" w:asciiTheme="minorEastAsia" w:hAnsiTheme="minorEastAsia" w:eastAsiaTheme="minorEastAsia"/>
          <w:sz w:val="28"/>
          <w:szCs w:val="28"/>
        </w:rPr>
      </w:pPr>
    </w:p>
    <w:p w14:paraId="5D779C38">
      <w:pPr>
        <w:spacing w:line="360" w:lineRule="exact"/>
        <w:jc w:val="righ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日期：   年   月    日</w:t>
      </w:r>
    </w:p>
    <w:p w14:paraId="50B0F280">
      <w:pPr>
        <w:rPr>
          <w:rFonts w:hint="eastAsia" w:asciiTheme="minorEastAsia" w:hAnsiTheme="minorEastAsia" w:eastAsiaTheme="minorEastAsia"/>
          <w:sz w:val="28"/>
          <w:szCs w:val="28"/>
        </w:rPr>
      </w:pPr>
    </w:p>
    <w:p w14:paraId="2F53F064">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附件：投标报价清单</w:t>
      </w:r>
    </w:p>
    <w:p w14:paraId="423A08A4">
      <w:pPr>
        <w:rPr>
          <w:rFonts w:hint="eastAsia" w:asciiTheme="minorEastAsia" w:hAnsiTheme="minorEastAsia" w:eastAsiaTheme="minorEastAsia"/>
          <w:sz w:val="28"/>
          <w:szCs w:val="28"/>
        </w:rPr>
      </w:pPr>
    </w:p>
    <w:tbl>
      <w:tblPr>
        <w:tblStyle w:val="20"/>
        <w:tblW w:w="0" w:type="auto"/>
        <w:jc w:val="center"/>
        <w:tblLayout w:type="fixed"/>
        <w:tblCellMar>
          <w:top w:w="0" w:type="dxa"/>
          <w:left w:w="108" w:type="dxa"/>
          <w:bottom w:w="0" w:type="dxa"/>
          <w:right w:w="108" w:type="dxa"/>
        </w:tblCellMar>
      </w:tblPr>
      <w:tblGrid>
        <w:gridCol w:w="629"/>
        <w:gridCol w:w="4399"/>
        <w:gridCol w:w="1417"/>
        <w:gridCol w:w="1440"/>
      </w:tblGrid>
      <w:tr w14:paraId="3B03DEB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476A4D06">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419CA07">
            <w:pPr>
              <w:jc w:val="center"/>
              <w:rPr>
                <w:rFonts w:hint="eastAsia" w:cs="Arial" w:asciiTheme="minorEastAsia" w:hAnsiTheme="minorEastAsia" w:eastAsiaTheme="minorEastAsia"/>
                <w:sz w:val="28"/>
                <w:szCs w:val="28"/>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7C684921">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47CA67FB">
            <w:pPr>
              <w:jc w:val="center"/>
              <w:rPr>
                <w:rFonts w:hint="eastAsia" w:cs="Arial" w:asciiTheme="minorEastAsia" w:hAnsiTheme="minorEastAsia" w:eastAsiaTheme="minorEastAsia"/>
                <w:sz w:val="28"/>
                <w:szCs w:val="28"/>
              </w:rPr>
            </w:pPr>
          </w:p>
        </w:tc>
      </w:tr>
      <w:tr w14:paraId="0E711CA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1E84578B">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61F3E65">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07A98CCD">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0E8B3B5D">
            <w:pPr>
              <w:jc w:val="center"/>
              <w:rPr>
                <w:rFonts w:hint="eastAsia" w:cs="Arial" w:asciiTheme="minorEastAsia" w:hAnsiTheme="minorEastAsia" w:eastAsiaTheme="minorEastAsia"/>
                <w:sz w:val="28"/>
                <w:szCs w:val="28"/>
              </w:rPr>
            </w:pPr>
          </w:p>
        </w:tc>
      </w:tr>
      <w:tr w14:paraId="018644FA">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2465F40A">
            <w:pPr>
              <w:jc w:val="center"/>
              <w:rPr>
                <w:rFonts w:hint="eastAsia" w:cs="Arial" w:asciiTheme="minorEastAsia" w:hAnsiTheme="minorEastAsia" w:eastAsiaTheme="minorEastAsia"/>
                <w:sz w:val="28"/>
                <w:szCs w:val="28"/>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764FD947">
            <w:pPr>
              <w:pStyle w:val="17"/>
              <w:shd w:val="clear" w:color="auto" w:fill="FFFFFF"/>
              <w:spacing w:line="304" w:lineRule="atLeast"/>
              <w:rPr>
                <w:rFonts w:hint="eastAsia" w:cs="宋体" w:asciiTheme="minorEastAsia" w:hAnsiTheme="minorEastAsia" w:eastAsiaTheme="minorEastAsia"/>
                <w:kern w:val="2"/>
                <w:sz w:val="28"/>
                <w:szCs w:val="28"/>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704F7B17">
            <w:pPr>
              <w:jc w:val="center"/>
              <w:rPr>
                <w:rFonts w:hint="eastAsia" w:cs="Arial" w:asciiTheme="minorEastAsia" w:hAnsiTheme="minorEastAsia" w:eastAsiaTheme="minorEastAsia"/>
                <w:sz w:val="28"/>
                <w:szCs w:val="28"/>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4321CC3">
            <w:pPr>
              <w:jc w:val="center"/>
              <w:rPr>
                <w:rFonts w:hint="eastAsia" w:cs="Arial" w:asciiTheme="minorEastAsia" w:hAnsiTheme="minorEastAsia" w:eastAsiaTheme="minorEastAsia"/>
                <w:sz w:val="28"/>
                <w:szCs w:val="28"/>
              </w:rPr>
            </w:pPr>
          </w:p>
        </w:tc>
      </w:tr>
    </w:tbl>
    <w:p w14:paraId="1710E006">
      <w:pPr>
        <w:jc w:val="center"/>
        <w:rPr>
          <w:rFonts w:hint="eastAsia" w:asciiTheme="minorEastAsia" w:hAnsiTheme="minorEastAsia" w:eastAsiaTheme="minorEastAsia"/>
          <w:sz w:val="28"/>
          <w:szCs w:val="28"/>
        </w:rPr>
      </w:pPr>
    </w:p>
    <w:p w14:paraId="548E1689">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D6EF84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二、投标委托代表人资格证明书</w:t>
      </w:r>
    </w:p>
    <w:p w14:paraId="2538C189">
      <w:pPr>
        <w:rPr>
          <w:rFonts w:hint="eastAsia" w:asciiTheme="minorEastAsia" w:hAnsiTheme="minorEastAsia" w:eastAsiaTheme="minorEastAsia"/>
          <w:sz w:val="28"/>
          <w:szCs w:val="28"/>
        </w:rPr>
      </w:pPr>
    </w:p>
    <w:p w14:paraId="0D6563F0">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单位名称：</w:t>
      </w:r>
    </w:p>
    <w:p w14:paraId="05B7A663">
      <w:pPr>
        <w:spacing w:line="360" w:lineRule="auto"/>
        <w:rPr>
          <w:rFonts w:hint="eastAsia"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14:paraId="7176E048">
      <w:pPr>
        <w:spacing w:line="360" w:lineRule="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姓名：    性别：年龄：  职务：   系委托代表人。为施工、竣工和保修项目，签署上述项目的投标文件、进行合同谈判、签署合同和处理与之有关的一切事务。</w:t>
      </w:r>
    </w:p>
    <w:p w14:paraId="78870C76">
      <w:pPr>
        <w:spacing w:line="360" w:lineRule="auto"/>
        <w:rPr>
          <w:rFonts w:hint="eastAsia" w:asciiTheme="minorEastAsia" w:hAnsiTheme="minorEastAsia" w:eastAsiaTheme="minorEastAsia"/>
          <w:sz w:val="28"/>
          <w:szCs w:val="28"/>
        </w:rPr>
      </w:pPr>
    </w:p>
    <w:p w14:paraId="6FF5F0B1">
      <w:pPr>
        <w:spacing w:line="360" w:lineRule="auto"/>
        <w:ind w:firstLine="5460" w:firstLineChars="19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投标人（盖章）：   </w:t>
      </w:r>
    </w:p>
    <w:p w14:paraId="491FB0CF">
      <w:pPr>
        <w:spacing w:line="360" w:lineRule="auto"/>
        <w:ind w:firstLine="5740" w:firstLineChars="205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5FCECE70">
      <w:pPr>
        <w:jc w:val="center"/>
        <w:rPr>
          <w:rFonts w:hint="eastAsia" w:asciiTheme="minorEastAsia" w:hAnsiTheme="minorEastAsia" w:eastAsiaTheme="minorEastAsia"/>
          <w:b/>
          <w:sz w:val="28"/>
          <w:szCs w:val="28"/>
        </w:rPr>
      </w:pPr>
    </w:p>
    <w:p w14:paraId="1BD28557">
      <w:pPr>
        <w:jc w:val="center"/>
        <w:rPr>
          <w:rFonts w:hint="eastAsia" w:asciiTheme="minorEastAsia" w:hAnsiTheme="minorEastAsia" w:eastAsiaTheme="minorEastAsia"/>
          <w:b/>
          <w:sz w:val="28"/>
          <w:szCs w:val="28"/>
        </w:rPr>
      </w:pPr>
    </w:p>
    <w:p w14:paraId="1D7AC0BA">
      <w:pPr>
        <w:adjustRightInd/>
        <w:snapToGrid/>
        <w:spacing w:after="0"/>
        <w:rPr>
          <w:rFonts w:hint="eastAsia" w:asciiTheme="minorEastAsia" w:hAnsiTheme="minorEastAsia" w:eastAsiaTheme="minorEastAsia"/>
          <w:b/>
          <w:sz w:val="28"/>
          <w:szCs w:val="28"/>
        </w:rPr>
      </w:pPr>
      <w:r>
        <w:rPr>
          <w:rFonts w:asciiTheme="minorEastAsia" w:hAnsiTheme="minorEastAsia" w:eastAsiaTheme="minorEastAsia"/>
          <w:b/>
          <w:sz w:val="28"/>
          <w:szCs w:val="28"/>
        </w:rPr>
        <w:br w:type="page"/>
      </w:r>
    </w:p>
    <w:p w14:paraId="76522E99">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三、投标承诺书</w:t>
      </w:r>
    </w:p>
    <w:p w14:paraId="49D2952C">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我司承诺对项目的院内公开招标最终确定的综合评定最优结果表示认可，并承诺不会对福建省肿瘤医院在本项目招标过程中的工作模式以及终止本项目招标的可能提出疑议。</w:t>
      </w:r>
    </w:p>
    <w:p w14:paraId="2EB1A0E9">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F76E202">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sz w:val="28"/>
          <w:szCs w:val="28"/>
        </w:rPr>
      </w:pPr>
      <w:r>
        <w:rPr>
          <w:rFonts w:hint="eastAsia" w:cs="宋体" w:asciiTheme="minorEastAsia" w:hAnsiTheme="minorEastAsia" w:eastAsiaTheme="minorEastAsia"/>
          <w:bCs/>
          <w:sz w:val="28"/>
          <w:szCs w:val="28"/>
        </w:rPr>
        <w:t>我司承诺福建省肿瘤医院在授予我司合同时有权利增加补充相关内容。</w:t>
      </w:r>
    </w:p>
    <w:p w14:paraId="3EC95EFD">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投标人名称（全称并加公章）：</w:t>
      </w:r>
    </w:p>
    <w:p w14:paraId="4E4DD7EA">
      <w:pPr>
        <w:tabs>
          <w:tab w:val="left" w:pos="5355"/>
        </w:tabs>
        <w:spacing w:before="100" w:beforeAutospacing="1" w:after="100" w:afterAutospacing="1" w:line="480" w:lineRule="auto"/>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投标人代表签字：</w:t>
      </w:r>
    </w:p>
    <w:p w14:paraId="1B611B34">
      <w:pPr>
        <w:tabs>
          <w:tab w:val="left" w:pos="5355"/>
        </w:tabs>
        <w:spacing w:before="100" w:beforeAutospacing="1" w:after="100" w:afterAutospacing="1" w:line="480" w:lineRule="auto"/>
        <w:rPr>
          <w:rFonts w:hint="eastAsia" w:asciiTheme="minorEastAsia" w:hAnsiTheme="minorEastAsia" w:eastAsiaTheme="minorEastAsia"/>
          <w:b/>
          <w:sz w:val="28"/>
          <w:szCs w:val="28"/>
        </w:rPr>
      </w:pPr>
      <w:r>
        <w:rPr>
          <w:rFonts w:hint="eastAsia" w:cs="宋体" w:asciiTheme="minorEastAsia" w:hAnsiTheme="minorEastAsia" w:eastAsiaTheme="minorEastAsia"/>
          <w:sz w:val="28"/>
          <w:szCs w:val="28"/>
        </w:rPr>
        <w:t>日期：     年    月   日</w:t>
      </w:r>
    </w:p>
    <w:p w14:paraId="775D62A5">
      <w:pPr>
        <w:spacing w:line="380" w:lineRule="exact"/>
        <w:rPr>
          <w:rFonts w:hint="eastAsia" w:asciiTheme="minorEastAsia" w:hAnsiTheme="minorEastAsia" w:eastAsiaTheme="minorEastAsia"/>
          <w:sz w:val="28"/>
          <w:szCs w:val="28"/>
        </w:rPr>
      </w:pPr>
    </w:p>
    <w:p w14:paraId="549E3C17">
      <w:pPr>
        <w:adjustRightInd/>
        <w:snapToGrid/>
        <w:spacing w:after="0"/>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27D9FD67">
      <w:pPr>
        <w:jc w:val="center"/>
        <w:rPr>
          <w:rFonts w:hint="eastAsia" w:asciiTheme="minorEastAsia" w:hAnsiTheme="minorEastAsia" w:eastAsiaTheme="minorEastAsia"/>
          <w:b/>
          <w:sz w:val="28"/>
          <w:szCs w:val="28"/>
        </w:rPr>
      </w:pPr>
      <w:r>
        <w:rPr>
          <w:rFonts w:asciiTheme="minorEastAsia" w:hAnsiTheme="minorEastAsia" w:eastAsiaTheme="minorEastAsia"/>
          <w:b/>
          <w:sz w:val="28"/>
          <w:szCs w:val="28"/>
        </w:rPr>
        <w:t>四、采购供应商资格承诺函</w:t>
      </w:r>
    </w:p>
    <w:p w14:paraId="70DB219F">
      <w:pPr>
        <w:pStyle w:val="45"/>
        <w:ind w:firstLine="480"/>
        <w:rPr>
          <w:rFonts w:cs="宋体" w:asciiTheme="minorEastAsia" w:hAnsiTheme="minorEastAsia" w:eastAsiaTheme="minorEastAsia"/>
          <w:bCs/>
        </w:rPr>
      </w:pPr>
      <w:r>
        <w:rPr>
          <w:rFonts w:cs="宋体" w:asciiTheme="minorEastAsia" w:hAnsiTheme="minorEastAsia" w:eastAsiaTheme="minorEastAsia"/>
          <w:bCs/>
        </w:rPr>
        <w:t>致：（采购人或采购代理机构）</w:t>
      </w:r>
    </w:p>
    <w:p w14:paraId="21A5BC5C">
      <w:pPr>
        <w:pStyle w:val="45"/>
        <w:ind w:firstLine="960"/>
        <w:rPr>
          <w:rFonts w:cs="宋体" w:asciiTheme="minorEastAsia" w:hAnsiTheme="minorEastAsia" w:eastAsiaTheme="minorEastAsia"/>
          <w:bCs/>
        </w:rPr>
      </w:pPr>
      <w:r>
        <w:rPr>
          <w:rFonts w:cs="宋体" w:asciiTheme="minorEastAsia" w:hAnsiTheme="minorEastAsia" w:eastAsiaTheme="minorEastAsia"/>
          <w:bCs/>
        </w:rPr>
        <w:t>单位名称(自然人姓名):</w:t>
      </w:r>
    </w:p>
    <w:p w14:paraId="6E37E8F7">
      <w:pPr>
        <w:pStyle w:val="45"/>
        <w:ind w:firstLine="960"/>
        <w:rPr>
          <w:rFonts w:cs="宋体" w:asciiTheme="minorEastAsia" w:hAnsiTheme="minorEastAsia" w:eastAsiaTheme="minorEastAsia"/>
          <w:bCs/>
        </w:rPr>
      </w:pPr>
      <w:r>
        <w:rPr>
          <w:rFonts w:cs="宋体" w:asciiTheme="minorEastAsia" w:hAnsiTheme="minorEastAsia" w:eastAsiaTheme="minorEastAsia"/>
          <w:bCs/>
        </w:rPr>
        <w:t>统一社会信用代码(自然人身份证号码):</w:t>
      </w:r>
    </w:p>
    <w:p w14:paraId="71F139DF">
      <w:pPr>
        <w:pStyle w:val="45"/>
        <w:ind w:firstLine="960"/>
        <w:rPr>
          <w:rFonts w:cs="宋体" w:asciiTheme="minorEastAsia" w:hAnsiTheme="minorEastAsia" w:eastAsiaTheme="minorEastAsia"/>
          <w:bCs/>
        </w:rPr>
      </w:pPr>
      <w:r>
        <w:rPr>
          <w:rFonts w:cs="宋体" w:asciiTheme="minorEastAsia" w:hAnsiTheme="minorEastAsia" w:eastAsiaTheme="minorEastAsia"/>
          <w:bCs/>
        </w:rPr>
        <w:t>法定代表人(负责人):</w:t>
      </w:r>
    </w:p>
    <w:p w14:paraId="4E4620D0">
      <w:pPr>
        <w:pStyle w:val="45"/>
        <w:ind w:firstLine="960"/>
        <w:rPr>
          <w:rFonts w:cs="宋体" w:asciiTheme="minorEastAsia" w:hAnsiTheme="minorEastAsia" w:eastAsiaTheme="minorEastAsia"/>
          <w:bCs/>
        </w:rPr>
      </w:pPr>
      <w:r>
        <w:rPr>
          <w:rFonts w:cs="宋体" w:asciiTheme="minorEastAsia" w:hAnsiTheme="minorEastAsia" w:eastAsiaTheme="minorEastAsia"/>
          <w:bCs/>
        </w:rPr>
        <w:t>联系地址和电话:</w:t>
      </w:r>
    </w:p>
    <w:p w14:paraId="7365AEB1">
      <w:pPr>
        <w:pStyle w:val="45"/>
        <w:ind w:firstLine="480"/>
        <w:rPr>
          <w:rFonts w:cs="宋体" w:asciiTheme="minorEastAsia" w:hAnsiTheme="minorEastAsia" w:eastAsiaTheme="minorEastAsia"/>
          <w:bCs/>
        </w:rPr>
      </w:pPr>
      <w:r>
        <w:rPr>
          <w:rFonts w:cs="宋体" w:asciiTheme="minorEastAsia" w:hAnsiTheme="minorEastAsia" w:eastAsiaTheme="minorEastAsia"/>
          <w:bCs/>
        </w:rPr>
        <w:t>我单位(本人)自愿参加本次政府采购活动，严格遵守《中华人民共和国政府采购法》及相关法律法规，坚守公开、公平公正和诚实信用等原则，依法诚信经营，并郑重承诺:</w:t>
      </w:r>
    </w:p>
    <w:p w14:paraId="1EEBA20E">
      <w:pPr>
        <w:pStyle w:val="45"/>
        <w:ind w:firstLine="480"/>
        <w:rPr>
          <w:rFonts w:cs="宋体" w:asciiTheme="minorEastAsia" w:hAnsiTheme="minorEastAsia" w:eastAsiaTheme="minorEastAsia"/>
          <w:bCs/>
        </w:rPr>
      </w:pPr>
      <w:r>
        <w:rPr>
          <w:rFonts w:cs="宋体" w:asciiTheme="minorEastAsia" w:hAnsiTheme="minorEastAsia" w:eastAsiaTheme="minorEastAsia"/>
          <w:bCs/>
        </w:rPr>
        <w:t>一、我单位(本人)具备采购文件要求以及《中华人民共和国政府采购法》第二十二条规定的条件:</w:t>
      </w:r>
    </w:p>
    <w:p w14:paraId="50B4C056">
      <w:pPr>
        <w:pStyle w:val="45"/>
        <w:ind w:firstLine="960"/>
        <w:rPr>
          <w:rFonts w:cs="宋体" w:asciiTheme="minorEastAsia" w:hAnsiTheme="minorEastAsia" w:eastAsiaTheme="minorEastAsia"/>
          <w:bCs/>
        </w:rPr>
      </w:pPr>
      <w:r>
        <w:rPr>
          <w:rFonts w:cs="宋体" w:asciiTheme="minorEastAsia" w:hAnsiTheme="minorEastAsia" w:eastAsiaTheme="minorEastAsia"/>
          <w:bCs/>
        </w:rPr>
        <w:t>1.具有独立承担民事责任的能力;</w:t>
      </w:r>
    </w:p>
    <w:p w14:paraId="4143877F">
      <w:pPr>
        <w:pStyle w:val="45"/>
        <w:ind w:firstLine="960"/>
        <w:rPr>
          <w:rFonts w:cs="宋体" w:asciiTheme="minorEastAsia" w:hAnsiTheme="minorEastAsia" w:eastAsiaTheme="minorEastAsia"/>
          <w:bCs/>
        </w:rPr>
      </w:pPr>
      <w:r>
        <w:rPr>
          <w:rFonts w:cs="宋体" w:asciiTheme="minorEastAsia" w:hAnsiTheme="minorEastAsia" w:eastAsiaTheme="minorEastAsia"/>
          <w:bCs/>
        </w:rPr>
        <w:t>2.具有良好的商业信誉和健全的财务会计制度;</w:t>
      </w:r>
    </w:p>
    <w:p w14:paraId="56B1EE53">
      <w:pPr>
        <w:pStyle w:val="45"/>
        <w:ind w:firstLine="960"/>
        <w:rPr>
          <w:rFonts w:cs="宋体" w:asciiTheme="minorEastAsia" w:hAnsiTheme="minorEastAsia" w:eastAsiaTheme="minorEastAsia"/>
          <w:bCs/>
        </w:rPr>
      </w:pPr>
      <w:r>
        <w:rPr>
          <w:rFonts w:cs="宋体" w:asciiTheme="minorEastAsia" w:hAnsiTheme="minorEastAsia" w:eastAsiaTheme="minorEastAsia"/>
          <w:bCs/>
        </w:rPr>
        <w:t>3.具有履行合同所必需的设备和专业技术能力;</w:t>
      </w:r>
    </w:p>
    <w:p w14:paraId="0310C22B">
      <w:pPr>
        <w:pStyle w:val="45"/>
        <w:ind w:firstLine="960"/>
        <w:rPr>
          <w:rFonts w:cs="宋体" w:asciiTheme="minorEastAsia" w:hAnsiTheme="minorEastAsia" w:eastAsiaTheme="minorEastAsia"/>
          <w:bCs/>
        </w:rPr>
      </w:pPr>
      <w:r>
        <w:rPr>
          <w:rFonts w:cs="宋体" w:asciiTheme="minorEastAsia" w:hAnsiTheme="minorEastAsia" w:eastAsiaTheme="minorEastAsia"/>
          <w:bCs/>
        </w:rPr>
        <w:t>4.有依法缴纳税收和社会保障资金的良好记录;</w:t>
      </w:r>
    </w:p>
    <w:p w14:paraId="34F5A132">
      <w:pPr>
        <w:pStyle w:val="45"/>
        <w:ind w:firstLine="960"/>
        <w:rPr>
          <w:rFonts w:cs="宋体" w:asciiTheme="minorEastAsia" w:hAnsiTheme="minorEastAsia" w:eastAsiaTheme="minorEastAsia"/>
          <w:bCs/>
        </w:rPr>
      </w:pPr>
      <w:r>
        <w:rPr>
          <w:rFonts w:cs="宋体" w:asciiTheme="minorEastAsia" w:hAnsiTheme="minorEastAsia" w:eastAsiaTheme="minorEastAsia"/>
          <w:bCs/>
        </w:rPr>
        <w:t>5.参加政府采购活动前三年内，在经营活动中没有重大违法记录；</w:t>
      </w:r>
    </w:p>
    <w:p w14:paraId="4E35D022">
      <w:pPr>
        <w:pStyle w:val="45"/>
        <w:ind w:firstLine="960"/>
        <w:rPr>
          <w:rFonts w:cs="宋体" w:asciiTheme="minorEastAsia" w:hAnsiTheme="minorEastAsia" w:eastAsiaTheme="minorEastAsia"/>
          <w:bCs/>
        </w:rPr>
      </w:pPr>
      <w:r>
        <w:rPr>
          <w:rFonts w:cs="宋体" w:asciiTheme="minorEastAsia" w:hAnsiTheme="minorEastAsia" w:eastAsiaTheme="minorEastAsia"/>
          <w:bCs/>
        </w:rPr>
        <w:t>6.法律、行政法规规定的其他条件。</w:t>
      </w:r>
    </w:p>
    <w:p w14:paraId="017E9873">
      <w:pPr>
        <w:pStyle w:val="45"/>
        <w:ind w:firstLine="480"/>
        <w:rPr>
          <w:rFonts w:cs="宋体" w:asciiTheme="minorEastAsia" w:hAnsiTheme="minorEastAsia" w:eastAsiaTheme="minorEastAsia"/>
          <w:bCs/>
        </w:rPr>
      </w:pPr>
      <w:r>
        <w:rPr>
          <w:rFonts w:cs="宋体" w:asciiTheme="minorEastAsia" w:hAnsiTheme="minorEastAsia" w:eastAsiaTheme="minorEastAsia"/>
          <w:bC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0AB1D0F">
      <w:pPr>
        <w:pStyle w:val="45"/>
        <w:ind w:firstLine="480"/>
        <w:rPr>
          <w:rFonts w:cs="宋体" w:asciiTheme="minorEastAsia" w:hAnsiTheme="minorEastAsia" w:eastAsiaTheme="minorEastAsia"/>
          <w:bCs/>
        </w:rPr>
      </w:pPr>
      <w:r>
        <w:rPr>
          <w:rFonts w:cs="宋体" w:asciiTheme="minorEastAsia" w:hAnsiTheme="minorEastAsia" w:eastAsiaTheme="minorEastAsia"/>
          <w:bC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F86CBDF">
      <w:pPr>
        <w:pStyle w:val="45"/>
        <w:ind w:firstLine="480"/>
        <w:jc w:val="right"/>
        <w:rPr>
          <w:rFonts w:cs="宋体" w:asciiTheme="minorEastAsia" w:hAnsiTheme="minorEastAsia" w:eastAsiaTheme="minorEastAsia"/>
          <w:bCs/>
        </w:rPr>
      </w:pPr>
      <w:r>
        <w:rPr>
          <w:rFonts w:cs="宋体" w:asciiTheme="minorEastAsia" w:hAnsiTheme="minorEastAsia" w:eastAsiaTheme="minorEastAsia"/>
          <w:bCs/>
        </w:rPr>
        <w:t>供应商：名称(单位公章):</w:t>
      </w:r>
    </w:p>
    <w:p w14:paraId="21482652">
      <w:pPr>
        <w:pStyle w:val="45"/>
        <w:ind w:firstLine="480"/>
        <w:jc w:val="right"/>
        <w:rPr>
          <w:rFonts w:cs="宋体" w:asciiTheme="minorEastAsia" w:hAnsiTheme="minorEastAsia" w:eastAsiaTheme="minorEastAsia"/>
          <w:bCs/>
        </w:rPr>
      </w:pPr>
      <w:r>
        <w:rPr>
          <w:rFonts w:cs="宋体" w:asciiTheme="minorEastAsia" w:hAnsiTheme="minorEastAsia" w:eastAsiaTheme="minorEastAsia"/>
          <w:bCs/>
        </w:rPr>
        <w:t>日期：　　年　　月　　日</w:t>
      </w:r>
    </w:p>
    <w:p w14:paraId="67F2D873">
      <w:pPr>
        <w:pStyle w:val="45"/>
        <w:ind w:firstLine="480"/>
        <w:rPr>
          <w:rFonts w:cs="宋体" w:asciiTheme="minorEastAsia" w:hAnsiTheme="minorEastAsia" w:eastAsiaTheme="minorEastAsia"/>
          <w:bCs/>
        </w:rPr>
      </w:pPr>
      <w:r>
        <w:rPr>
          <w:rFonts w:cs="宋体" w:asciiTheme="minorEastAsia" w:hAnsiTheme="minorEastAsia" w:eastAsiaTheme="minorEastAsia"/>
          <w:bCs/>
        </w:rPr>
        <w:t>注：</w:t>
      </w:r>
    </w:p>
    <w:p w14:paraId="6A66AA9D">
      <w:pPr>
        <w:pStyle w:val="45"/>
        <w:ind w:firstLine="960"/>
        <w:rPr>
          <w:rFonts w:cs="宋体" w:asciiTheme="minorEastAsia" w:hAnsiTheme="minorEastAsia" w:eastAsiaTheme="minorEastAsia"/>
          <w:bCs/>
        </w:rPr>
      </w:pPr>
      <w:r>
        <w:rPr>
          <w:rFonts w:cs="宋体" w:asciiTheme="minorEastAsia" w:hAnsiTheme="minorEastAsia" w:eastAsiaTheme="minorEastAsia"/>
          <w:bCs/>
        </w:rPr>
        <w:t>1.我单位(本人)专指参加政府采购活动的供应商(含自然人)；</w:t>
      </w:r>
    </w:p>
    <w:p w14:paraId="7FAC2605">
      <w:pPr>
        <w:pStyle w:val="45"/>
        <w:ind w:firstLine="960"/>
        <w:rPr>
          <w:rFonts w:cs="宋体" w:asciiTheme="minorEastAsia" w:hAnsiTheme="minorEastAsia" w:eastAsiaTheme="minorEastAsia"/>
          <w:bCs/>
        </w:rPr>
      </w:pPr>
      <w:r>
        <w:rPr>
          <w:rFonts w:cs="宋体" w:asciiTheme="minorEastAsia" w:hAnsiTheme="minorEastAsia" w:eastAsiaTheme="minorEastAsia"/>
          <w:bCs/>
        </w:rPr>
        <w:t>2.资格承诺的供应商应在投标(响应)文件中按此模板提供承诺函，否则，视为未按照招标文件规定提交投标人的资格及资信文件，按资格审查不通过处理。</w:t>
      </w:r>
    </w:p>
    <w:p w14:paraId="4412FF53">
      <w:pPr>
        <w:spacing w:line="380" w:lineRule="exact"/>
        <w:rPr>
          <w:rFonts w:hint="eastAsia" w:asciiTheme="minorEastAsia" w:hAnsiTheme="minorEastAsia" w:eastAsiaTheme="minorEastAsia"/>
          <w:sz w:val="28"/>
          <w:szCs w:val="28"/>
        </w:rPr>
      </w:pPr>
    </w:p>
    <w:p w14:paraId="6499E7C3">
      <w:pPr>
        <w:spacing w:line="380" w:lineRule="exact"/>
        <w:ind w:firstLine="560" w:firstLineChars="200"/>
        <w:rPr>
          <w:rFonts w:hint="eastAsia" w:asciiTheme="minorEastAsia" w:hAnsiTheme="minorEastAsia" w:eastAsiaTheme="minorEastAsia"/>
          <w:sz w:val="28"/>
          <w:szCs w:val="28"/>
        </w:rPr>
      </w:pPr>
    </w:p>
    <w:p w14:paraId="079D3AA6">
      <w:pPr>
        <w:adjustRightInd/>
        <w:snapToGrid/>
        <w:spacing w:after="0"/>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br w:type="page"/>
      </w:r>
    </w:p>
    <w:p w14:paraId="7F5D0B03">
      <w:pPr>
        <w:tabs>
          <w:tab w:val="left" w:pos="1600"/>
        </w:tabs>
        <w:spacing w:line="560" w:lineRule="exact"/>
        <w:ind w:left="330" w:firstLine="240"/>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五、投标人提交的其它材料</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4329">
    <w:pPr>
      <w:rPr>
        <w:rFonts w:ascii="Times New Roman" w:hAnsi="Times New Roman" w:eastAsia="宋体"/>
        <w:sz w:val="18"/>
        <w:szCs w:val="18"/>
      </w:rPr>
    </w:pPr>
    <w:r>
      <w:rPr>
        <w:rFonts w:ascii="Times New Roman" w:hAnsi="Times New Roman"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258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258445"/>
                      </a:xfrm>
                      <a:prstGeom prst="rect">
                        <a:avLst/>
                      </a:prstGeom>
                      <a:noFill/>
                      <a:ln w="15875">
                        <a:noFill/>
                      </a:ln>
                    </wps:spPr>
                    <wps:txbx>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20.35pt;width:4.55pt;mso-position-horizontal:center;mso-position-horizontal-relative:margin;mso-wrap-style:none;z-index:251659264;mso-width-relative:page;mso-height-relative:page;" filled="f" stroked="f" coordsize="21600,21600" o:gfxdata="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CykH1AAAAAIBAAAPAAAAAAAAAAEAIAAAACIAAABkcnMv&#10;ZG93bnJldi54bWxQSwECFAAUAAAACACHTuJACAbuzM4BAACUAwAADgAAAAAAAAABACAAAAAjAQAA&#10;ZHJzL2Uyb0RvYy54bWxQSwUGAAAAAAYABgBZAQAAYwUAAAAA&#10;">
              <v:fill on="f" focussize="0,0"/>
              <v:stroke on="f" weight="1.25pt"/>
              <v:imagedata o:title=""/>
              <o:lock v:ext="edit" aspectratio="f"/>
              <v:textbox inset="0mm,0mm,0mm,0mm" style="mso-fit-shape-to-text:t;">
                <w:txbxContent>
                  <w:p w14:paraId="021D1C72">
                    <w:pPr>
                      <w:rPr>
                        <w:rFonts w:ascii="Times New Roman" w:hAnsi="Times New Roman" w:eastAsia="宋体"/>
                        <w:sz w:val="18"/>
                        <w:szCs w:val="18"/>
                      </w:rPr>
                    </w:pPr>
                    <w:r>
                      <w:rPr>
                        <w:rFonts w:ascii="Times New Roman" w:hAnsi="Times New Roman" w:eastAsia="宋体"/>
                        <w:sz w:val="18"/>
                        <w:szCs w:val="18"/>
                      </w:rPr>
                      <w:fldChar w:fldCharType="begin"/>
                    </w:r>
                    <w:r>
                      <w:rPr>
                        <w:rFonts w:ascii="Times New Roman" w:hAnsi="Times New Roman" w:eastAsia="宋体"/>
                        <w:kern w:val="2"/>
                        <w:sz w:val="18"/>
                        <w:szCs w:val="18"/>
                      </w:rPr>
                      <w:instrText xml:space="preserve"> PAGE  \* MERGEFORMAT </w:instrText>
                    </w:r>
                    <w:r>
                      <w:rPr>
                        <w:rFonts w:ascii="Times New Roman" w:hAnsi="Times New Roman" w:eastAsia="宋体"/>
                        <w:sz w:val="18"/>
                        <w:szCs w:val="18"/>
                      </w:rPr>
                      <w:fldChar w:fldCharType="separate"/>
                    </w:r>
                    <w:r>
                      <w:rPr>
                        <w:rFonts w:ascii="Times New Roman" w:hAnsi="Times New Roman" w:eastAsia="宋体"/>
                        <w:sz w:val="18"/>
                        <w:szCs w:val="18"/>
                      </w:rPr>
                      <w:t>33</w:t>
                    </w:r>
                    <w:r>
                      <w:rPr>
                        <w:rFonts w:ascii="Times New Roman" w:hAnsi="Times New Roman" w:eastAsia="宋体"/>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A3D01F7"/>
    <w:multiLevelType w:val="multilevel"/>
    <w:tmpl w:val="6A3D01F7"/>
    <w:lvl w:ilvl="0" w:tentative="0">
      <w:start w:val="1"/>
      <w:numFmt w:val="decimal"/>
      <w:lvlText w:val="%1."/>
      <w:lvlJc w:val="left"/>
      <w:pPr>
        <w:ind w:left="810" w:hanging="420"/>
      </w:p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9"/>
    <w:rsid w:val="00013AC5"/>
    <w:rsid w:val="000320C1"/>
    <w:rsid w:val="00065CB7"/>
    <w:rsid w:val="00092AEB"/>
    <w:rsid w:val="000B3136"/>
    <w:rsid w:val="000B7CA6"/>
    <w:rsid w:val="001B5C27"/>
    <w:rsid w:val="001B6716"/>
    <w:rsid w:val="001F51BB"/>
    <w:rsid w:val="0021062C"/>
    <w:rsid w:val="00211344"/>
    <w:rsid w:val="00225DC2"/>
    <w:rsid w:val="00330428"/>
    <w:rsid w:val="00336AC4"/>
    <w:rsid w:val="0036389C"/>
    <w:rsid w:val="003922F0"/>
    <w:rsid w:val="003A6874"/>
    <w:rsid w:val="003A7B36"/>
    <w:rsid w:val="003E144E"/>
    <w:rsid w:val="003F3649"/>
    <w:rsid w:val="003F5A88"/>
    <w:rsid w:val="004016DF"/>
    <w:rsid w:val="00416AAC"/>
    <w:rsid w:val="00446A47"/>
    <w:rsid w:val="0046656A"/>
    <w:rsid w:val="004A2659"/>
    <w:rsid w:val="004C23E5"/>
    <w:rsid w:val="00502F57"/>
    <w:rsid w:val="00565257"/>
    <w:rsid w:val="0059776B"/>
    <w:rsid w:val="005F00CE"/>
    <w:rsid w:val="0060707B"/>
    <w:rsid w:val="00607468"/>
    <w:rsid w:val="006464A9"/>
    <w:rsid w:val="00690C13"/>
    <w:rsid w:val="006B0872"/>
    <w:rsid w:val="006F3981"/>
    <w:rsid w:val="00740DD3"/>
    <w:rsid w:val="00761396"/>
    <w:rsid w:val="00797D47"/>
    <w:rsid w:val="007B2333"/>
    <w:rsid w:val="007C3AA7"/>
    <w:rsid w:val="007C76F4"/>
    <w:rsid w:val="00806F36"/>
    <w:rsid w:val="00857633"/>
    <w:rsid w:val="0088152F"/>
    <w:rsid w:val="00885C59"/>
    <w:rsid w:val="008B2DC2"/>
    <w:rsid w:val="008E5D2A"/>
    <w:rsid w:val="009339AC"/>
    <w:rsid w:val="0093412E"/>
    <w:rsid w:val="009341D8"/>
    <w:rsid w:val="00947491"/>
    <w:rsid w:val="00952E84"/>
    <w:rsid w:val="00960B8D"/>
    <w:rsid w:val="009636DE"/>
    <w:rsid w:val="009B2E41"/>
    <w:rsid w:val="009C77EE"/>
    <w:rsid w:val="00A16AD3"/>
    <w:rsid w:val="00A41555"/>
    <w:rsid w:val="00A41C1C"/>
    <w:rsid w:val="00A75611"/>
    <w:rsid w:val="00A7622D"/>
    <w:rsid w:val="00AA0C87"/>
    <w:rsid w:val="00AB0757"/>
    <w:rsid w:val="00AB0BC2"/>
    <w:rsid w:val="00AE21F5"/>
    <w:rsid w:val="00B25931"/>
    <w:rsid w:val="00B32ADB"/>
    <w:rsid w:val="00B3455A"/>
    <w:rsid w:val="00B35FB2"/>
    <w:rsid w:val="00B463E5"/>
    <w:rsid w:val="00B74E36"/>
    <w:rsid w:val="00BB14F3"/>
    <w:rsid w:val="00C23C58"/>
    <w:rsid w:val="00C951E7"/>
    <w:rsid w:val="00CA0C34"/>
    <w:rsid w:val="00CB3BD4"/>
    <w:rsid w:val="00CE13ED"/>
    <w:rsid w:val="00CF2EAB"/>
    <w:rsid w:val="00D114D7"/>
    <w:rsid w:val="00D42D09"/>
    <w:rsid w:val="00D44F14"/>
    <w:rsid w:val="00D522A1"/>
    <w:rsid w:val="00DD38FE"/>
    <w:rsid w:val="00DE52CD"/>
    <w:rsid w:val="00DE6E02"/>
    <w:rsid w:val="00DE7BA8"/>
    <w:rsid w:val="00DF375A"/>
    <w:rsid w:val="00E27523"/>
    <w:rsid w:val="00E360F1"/>
    <w:rsid w:val="00E816F8"/>
    <w:rsid w:val="00E95090"/>
    <w:rsid w:val="00EA0386"/>
    <w:rsid w:val="00EA5D85"/>
    <w:rsid w:val="00EB1D74"/>
    <w:rsid w:val="00EB6196"/>
    <w:rsid w:val="00ED0F5B"/>
    <w:rsid w:val="00EE1F3B"/>
    <w:rsid w:val="00EF3C6A"/>
    <w:rsid w:val="00F5251D"/>
    <w:rsid w:val="00F63488"/>
    <w:rsid w:val="00F70354"/>
    <w:rsid w:val="00F71189"/>
    <w:rsid w:val="00FC01C5"/>
    <w:rsid w:val="00FE0D24"/>
    <w:rsid w:val="01054B7D"/>
    <w:rsid w:val="042267CA"/>
    <w:rsid w:val="04B20547"/>
    <w:rsid w:val="09353954"/>
    <w:rsid w:val="0D054058"/>
    <w:rsid w:val="0D883645"/>
    <w:rsid w:val="11D87DAF"/>
    <w:rsid w:val="12710E53"/>
    <w:rsid w:val="1AAC0209"/>
    <w:rsid w:val="1E8659A4"/>
    <w:rsid w:val="22A06B02"/>
    <w:rsid w:val="327171DF"/>
    <w:rsid w:val="35E163DB"/>
    <w:rsid w:val="4EC263CD"/>
    <w:rsid w:val="5048445D"/>
    <w:rsid w:val="50CB7EDC"/>
    <w:rsid w:val="665B2EE3"/>
    <w:rsid w:val="6A830358"/>
    <w:rsid w:val="6C3800D4"/>
    <w:rsid w:val="731D5825"/>
    <w:rsid w:val="733E270E"/>
    <w:rsid w:val="784B5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14:ligatures w14:val="standardContextual"/>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7"/>
    <w:semiHidden/>
    <w:unhideWhenUsed/>
    <w:qFormat/>
    <w:uiPriority w:val="99"/>
    <w:pPr>
      <w:spacing w:after="120"/>
    </w:pPr>
  </w:style>
  <w:style w:type="paragraph" w:styleId="12">
    <w:name w:val="Normal Indent"/>
    <w:basedOn w:val="1"/>
    <w:link w:val="46"/>
    <w:qFormat/>
    <w:uiPriority w:val="0"/>
    <w:pPr>
      <w:adjustRightInd/>
      <w:snapToGrid/>
      <w:spacing w:after="0"/>
      <w:ind w:firstLine="420"/>
    </w:pPr>
    <w:rPr>
      <w:rFonts w:ascii="Times New Roman" w:hAnsi="Times New Roman" w:eastAsia="宋体"/>
      <w:sz w:val="20"/>
      <w:szCs w:val="20"/>
    </w:rPr>
  </w:style>
  <w:style w:type="paragraph" w:styleId="13">
    <w:name w:val="footer"/>
    <w:basedOn w:val="1"/>
    <w:link w:val="42"/>
    <w:unhideWhenUsed/>
    <w:qFormat/>
    <w:uiPriority w:val="99"/>
    <w:pPr>
      <w:tabs>
        <w:tab w:val="center" w:pos="4153"/>
        <w:tab w:val="right" w:pos="8306"/>
      </w:tabs>
    </w:pPr>
    <w:rPr>
      <w:sz w:val="18"/>
      <w:szCs w:val="18"/>
    </w:rPr>
  </w:style>
  <w:style w:type="paragraph" w:styleId="14">
    <w:name w:val="header"/>
    <w:basedOn w:val="1"/>
    <w:link w:val="41"/>
    <w:unhideWhenUsed/>
    <w:qFormat/>
    <w:uiPriority w:val="99"/>
    <w:pPr>
      <w:tabs>
        <w:tab w:val="center" w:pos="4153"/>
        <w:tab w:val="right" w:pos="8306"/>
      </w:tabs>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3"/>
    <w:qFormat/>
    <w:uiPriority w:val="0"/>
    <w:pPr>
      <w:spacing w:after="120" w:line="480" w:lineRule="auto"/>
    </w:p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8">
    <w:name w:val="Normal (Web)"/>
    <w:basedOn w:val="1"/>
    <w:unhideWhenUsed/>
    <w:qFormat/>
    <w:uiPriority w:val="99"/>
    <w:pPr>
      <w:spacing w:before="100" w:beforeAutospacing="1" w:after="100" w:afterAutospacing="1"/>
    </w:pPr>
    <w:rPr>
      <w:sz w:val="24"/>
    </w:rPr>
  </w:style>
  <w:style w:type="paragraph" w:styleId="19">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2">
    <w:name w:val="Hyperlink"/>
    <w:basedOn w:val="21"/>
    <w:qFormat/>
    <w:uiPriority w:val="0"/>
    <w:rPr>
      <w:color w:val="0000FF" w:themeColor="hyperlink"/>
      <w:u w:val="single"/>
      <w14:textFill>
        <w14:solidFill>
          <w14:schemeClr w14:val="hlink"/>
        </w14:solidFill>
      </w14:textFill>
    </w:rPr>
  </w:style>
  <w:style w:type="character" w:customStyle="1" w:styleId="23">
    <w:name w:val="标题 1 字符"/>
    <w:basedOn w:val="21"/>
    <w:link w:val="3"/>
    <w:qFormat/>
    <w:uiPriority w:val="9"/>
    <w:rPr>
      <w:rFonts w:asciiTheme="majorHAnsi" w:hAnsiTheme="majorHAnsi" w:eastAsiaTheme="majorEastAsia" w:cstheme="majorBidi"/>
      <w:color w:val="376092" w:themeColor="accent1" w:themeShade="BF"/>
      <w:sz w:val="48"/>
      <w:szCs w:val="48"/>
    </w:rPr>
  </w:style>
  <w:style w:type="character" w:customStyle="1" w:styleId="24">
    <w:name w:val="标题 2 字符"/>
    <w:basedOn w:val="21"/>
    <w:link w:val="4"/>
    <w:semiHidden/>
    <w:qFormat/>
    <w:uiPriority w:val="9"/>
    <w:rPr>
      <w:rFonts w:asciiTheme="majorHAnsi" w:hAnsiTheme="majorHAnsi" w:eastAsiaTheme="majorEastAsia" w:cstheme="majorBidi"/>
      <w:color w:val="376092" w:themeColor="accent1" w:themeShade="BF"/>
      <w:sz w:val="40"/>
      <w:szCs w:val="40"/>
    </w:rPr>
  </w:style>
  <w:style w:type="character" w:customStyle="1" w:styleId="25">
    <w:name w:val="标题 3 字符"/>
    <w:basedOn w:val="21"/>
    <w:link w:val="5"/>
    <w:semiHidden/>
    <w:qFormat/>
    <w:uiPriority w:val="9"/>
    <w:rPr>
      <w:rFonts w:asciiTheme="majorHAnsi" w:hAnsiTheme="majorHAnsi" w:eastAsiaTheme="majorEastAsia" w:cstheme="majorBidi"/>
      <w:color w:val="376092" w:themeColor="accent1" w:themeShade="BF"/>
      <w:sz w:val="32"/>
      <w:szCs w:val="32"/>
    </w:rPr>
  </w:style>
  <w:style w:type="character" w:customStyle="1" w:styleId="26">
    <w:name w:val="标题 4 字符"/>
    <w:basedOn w:val="21"/>
    <w:link w:val="6"/>
    <w:semiHidden/>
    <w:qFormat/>
    <w:uiPriority w:val="9"/>
    <w:rPr>
      <w:rFonts w:cstheme="majorBidi"/>
      <w:color w:val="376092" w:themeColor="accent1" w:themeShade="BF"/>
      <w:sz w:val="28"/>
      <w:szCs w:val="28"/>
    </w:rPr>
  </w:style>
  <w:style w:type="character" w:customStyle="1" w:styleId="27">
    <w:name w:val="标题 5 字符"/>
    <w:basedOn w:val="21"/>
    <w:link w:val="7"/>
    <w:semiHidden/>
    <w:qFormat/>
    <w:uiPriority w:val="9"/>
    <w:rPr>
      <w:rFonts w:cstheme="majorBidi"/>
      <w:color w:val="376092" w:themeColor="accent1" w:themeShade="BF"/>
      <w:sz w:val="24"/>
      <w:szCs w:val="24"/>
    </w:rPr>
  </w:style>
  <w:style w:type="character" w:customStyle="1" w:styleId="28">
    <w:name w:val="标题 6 字符"/>
    <w:basedOn w:val="21"/>
    <w:link w:val="8"/>
    <w:semiHidden/>
    <w:qFormat/>
    <w:uiPriority w:val="9"/>
    <w:rPr>
      <w:rFonts w:cstheme="majorBidi"/>
      <w:b/>
      <w:bCs/>
      <w:color w:val="376092" w:themeColor="accent1" w:themeShade="BF"/>
    </w:rPr>
  </w:style>
  <w:style w:type="character" w:customStyle="1" w:styleId="29">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9"/>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Intense Emphasis"/>
    <w:basedOn w:val="21"/>
    <w:qFormat/>
    <w:uiPriority w:val="21"/>
    <w:rPr>
      <w:i/>
      <w:iCs/>
      <w:color w:val="376092" w:themeColor="accent1" w:themeShade="BF"/>
    </w:rPr>
  </w:style>
  <w:style w:type="paragraph" w:styleId="38">
    <w:name w:val="Intense Quote"/>
    <w:basedOn w:val="1"/>
    <w:next w:val="1"/>
    <w:link w:val="3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9">
    <w:name w:val="明显引用 字符"/>
    <w:basedOn w:val="21"/>
    <w:link w:val="38"/>
    <w:qFormat/>
    <w:uiPriority w:val="30"/>
    <w:rPr>
      <w:i/>
      <w:iCs/>
      <w:color w:val="376092" w:themeColor="accent1" w:themeShade="BF"/>
    </w:rPr>
  </w:style>
  <w:style w:type="character" w:customStyle="1" w:styleId="40">
    <w:name w:val="Intense Reference"/>
    <w:basedOn w:val="21"/>
    <w:qFormat/>
    <w:uiPriority w:val="32"/>
    <w:rPr>
      <w:b/>
      <w:bCs/>
      <w:smallCaps/>
      <w:color w:val="376092" w:themeColor="accent1" w:themeShade="BF"/>
      <w:spacing w:val="5"/>
    </w:rPr>
  </w:style>
  <w:style w:type="character" w:customStyle="1" w:styleId="41">
    <w:name w:val="页眉 字符"/>
    <w:basedOn w:val="21"/>
    <w:link w:val="14"/>
    <w:qFormat/>
    <w:uiPriority w:val="99"/>
    <w:rPr>
      <w:sz w:val="18"/>
      <w:szCs w:val="18"/>
    </w:rPr>
  </w:style>
  <w:style w:type="character" w:customStyle="1" w:styleId="42">
    <w:name w:val="页脚 字符"/>
    <w:basedOn w:val="21"/>
    <w:link w:val="13"/>
    <w:qFormat/>
    <w:uiPriority w:val="99"/>
    <w:rPr>
      <w:sz w:val="18"/>
      <w:szCs w:val="18"/>
    </w:rPr>
  </w:style>
  <w:style w:type="character" w:customStyle="1" w:styleId="43">
    <w:name w:val="正文文本 2 字符"/>
    <w:basedOn w:val="21"/>
    <w:link w:val="16"/>
    <w:qFormat/>
    <w:uiPriority w:val="0"/>
    <w:rPr>
      <w:rFonts w:ascii="Tahoma" w:hAnsi="Tahoma" w:eastAsia="微软雅黑" w:cs="Times New Roman"/>
      <w:kern w:val="0"/>
      <w:sz w:val="22"/>
    </w:rPr>
  </w:style>
  <w:style w:type="character" w:customStyle="1" w:styleId="44">
    <w:name w:val="HTML 预设格式 字符"/>
    <w:basedOn w:val="21"/>
    <w:link w:val="17"/>
    <w:qFormat/>
    <w:uiPriority w:val="0"/>
    <w:rPr>
      <w:rFonts w:ascii="宋体" w:hAnsi="宋体" w:eastAsia="宋体" w:cs="Times New Roman"/>
      <w:kern w:val="0"/>
      <w:sz w:val="24"/>
      <w:szCs w:val="24"/>
    </w:rPr>
  </w:style>
  <w:style w:type="paragraph" w:customStyle="1" w:styleId="45">
    <w:name w:val="null3"/>
    <w:qFormat/>
    <w:uiPriority w:val="0"/>
    <w:rPr>
      <w:rFonts w:hint="eastAsia" w:ascii="Calibri" w:hAnsi="Calibri" w:eastAsia="宋体" w:cs="Times New Roman"/>
      <w:kern w:val="0"/>
      <w:sz w:val="20"/>
      <w:szCs w:val="20"/>
      <w:lang w:val="en-US" w:eastAsia="zh-CN" w:bidi="ar-SA"/>
      <w14:ligatures w14:val="standardContextual"/>
    </w:rPr>
  </w:style>
  <w:style w:type="character" w:customStyle="1" w:styleId="46">
    <w:name w:val="正文缩进 字符"/>
    <w:link w:val="12"/>
    <w:qFormat/>
    <w:uiPriority w:val="0"/>
    <w:rPr>
      <w:rFonts w:ascii="Times New Roman" w:hAnsi="Times New Roman" w:eastAsia="宋体" w:cs="Times New Roman"/>
      <w:kern w:val="0"/>
      <w:sz w:val="20"/>
      <w:szCs w:val="20"/>
    </w:rPr>
  </w:style>
  <w:style w:type="character" w:customStyle="1" w:styleId="47">
    <w:name w:val="正文文本 字符"/>
    <w:basedOn w:val="21"/>
    <w:link w:val="2"/>
    <w:semiHidden/>
    <w:qFormat/>
    <w:uiPriority w:val="99"/>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85D20-C8A4-4D5B-8EFB-88E438883D6C}">
  <ds:schemaRefs/>
</ds:datastoreItem>
</file>

<file path=docProps/app.xml><?xml version="1.0" encoding="utf-8"?>
<Properties xmlns="http://schemas.openxmlformats.org/officeDocument/2006/extended-properties" xmlns:vt="http://schemas.openxmlformats.org/officeDocument/2006/docPropsVTypes">
  <Template>Normal</Template>
  <Pages>23</Pages>
  <Words>6363</Words>
  <Characters>6628</Characters>
  <Lines>80</Lines>
  <Paragraphs>22</Paragraphs>
  <TotalTime>16</TotalTime>
  <ScaleCrop>false</ScaleCrop>
  <LinksUpToDate>false</LinksUpToDate>
  <CharactersWithSpaces>6780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2024-11-04T07:36:00Z</dcterms:created>
  <dc:creator>Admin</dc:creator>
  <cp:lastModifiedBy>庄若颖</cp:lastModifiedBy>
  <cp:lastPrinted>2025-12-11T08:13:00Z</cp:lastPrinted>
  <dcterms:modified xsi:type="dcterms:W3CDTF">2025-12-11T08:34:25Z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eyJoZGlkIjoiZjNiYWRkZGMyNTA5NWU4NWIzYzk3MDA3YTY2NmI0N2QiLCJ1c2VySWQiOiIxNzI4MzA0MDQ0In0=</vt:lpwstr>
  </property>
  <property fmtid="{D5CDD505-2E9C-101B-9397-08002B2CF9AE}" pid="3" name="KSOProductBuildVer">
    <vt:lpwstr>2052-12.1.0.23542</vt:lpwstr>
  </property>
  <property fmtid="{D5CDD505-2E9C-101B-9397-08002B2CF9AE}" pid="4" name="ICV">
    <vt:lpwstr>861B1BF281134B6CB4492F6302318652_13</vt:lpwstr>
  </property>
</Properties>
</file>