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67481">
      <w:pPr>
        <w:pStyle w:val="19"/>
        <w:spacing w:before="75" w:beforeAutospacing="0" w:after="75" w:afterAutospacing="0"/>
        <w:jc w:val="center"/>
        <w:rPr>
          <w:rFonts w:ascii="宋体" w:hAnsi="宋体" w:eastAsia="宋体" w:cs="宋体"/>
          <w:b/>
          <w:bCs/>
          <w:sz w:val="32"/>
          <w:szCs w:val="32"/>
          <w:highlight w:val="none"/>
        </w:rPr>
      </w:pPr>
    </w:p>
    <w:p w14:paraId="33C93AF2">
      <w:pPr>
        <w:adjustRightInd/>
        <w:snapToGrid/>
        <w:spacing w:after="0" w:line="480" w:lineRule="atLeast"/>
        <w:jc w:val="center"/>
        <w:rPr>
          <w:rFonts w:ascii="宋体" w:hAnsi="宋体" w:eastAsia="宋体" w:cs="宋体"/>
          <w:b/>
          <w:bCs/>
          <w:color w:val="404040"/>
          <w:sz w:val="32"/>
          <w:szCs w:val="32"/>
          <w:highlight w:val="none"/>
        </w:rPr>
      </w:pPr>
      <w:r>
        <w:rPr>
          <w:rFonts w:hint="eastAsia" w:ascii="宋体" w:hAnsi="宋体" w:eastAsia="宋体" w:cs="宋体"/>
          <w:b/>
          <w:bCs/>
          <w:color w:val="404040"/>
          <w:sz w:val="32"/>
          <w:szCs w:val="32"/>
          <w:highlight w:val="none"/>
          <w:lang w:val="en-US" w:eastAsia="zh-CN"/>
        </w:rPr>
        <w:t>福建省肿瘤医院病理科监控设备采购项目</w:t>
      </w:r>
      <w:r>
        <w:rPr>
          <w:rFonts w:hint="eastAsia" w:ascii="宋体" w:hAnsi="宋体" w:eastAsia="宋体" w:cs="宋体"/>
          <w:b/>
          <w:bCs/>
          <w:color w:val="404040"/>
          <w:sz w:val="32"/>
          <w:szCs w:val="32"/>
          <w:highlight w:val="none"/>
        </w:rPr>
        <w:t>招标采购公告</w:t>
      </w:r>
    </w:p>
    <w:p w14:paraId="2695B5E9">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一、招标项目概况和范围</w:t>
      </w:r>
    </w:p>
    <w:p w14:paraId="591FA1B4">
      <w:pPr>
        <w:pStyle w:val="39"/>
        <w:numPr>
          <w:ilvl w:val="0"/>
          <w:numId w:val="1"/>
        </w:numPr>
        <w:adjustRightInd/>
        <w:snapToGrid/>
        <w:spacing w:after="0" w:line="480" w:lineRule="atLeast"/>
        <w:contextualSpacing w:val="0"/>
        <w:rPr>
          <w:rFonts w:ascii="宋体" w:hAnsi="宋体" w:eastAsia="宋体" w:cs="宋体"/>
          <w:b/>
          <w:bCs/>
          <w:color w:val="404040"/>
          <w:sz w:val="32"/>
          <w:szCs w:val="32"/>
          <w:highlight w:val="none"/>
        </w:rPr>
      </w:pPr>
      <w:r>
        <w:rPr>
          <w:rFonts w:hint="eastAsia" w:ascii="宋体" w:hAnsi="宋体" w:eastAsia="宋体" w:cs="宋体"/>
          <w:color w:val="404040"/>
          <w:sz w:val="26"/>
          <w:szCs w:val="26"/>
          <w:highlight w:val="none"/>
        </w:rPr>
        <w:t>项目名称：福建省肿瘤医院病理科监控设备采购项目招标采购</w:t>
      </w:r>
    </w:p>
    <w:p w14:paraId="3C0C5A25">
      <w:pPr>
        <w:pStyle w:val="39"/>
        <w:numPr>
          <w:ilvl w:val="0"/>
          <w:numId w:val="1"/>
        </w:numPr>
        <w:adjustRightInd/>
        <w:snapToGrid/>
        <w:spacing w:after="0" w:line="480" w:lineRule="atLeast"/>
        <w:contextualSpacing w:val="0"/>
        <w:rPr>
          <w:rFonts w:ascii="宋体" w:hAnsi="宋体" w:eastAsia="宋体" w:cs="宋体"/>
          <w:b/>
          <w:bCs/>
          <w:color w:val="404040"/>
          <w:sz w:val="32"/>
          <w:szCs w:val="32"/>
          <w:highlight w:val="none"/>
        </w:rPr>
      </w:pPr>
      <w:r>
        <w:rPr>
          <w:rFonts w:hint="eastAsia" w:ascii="宋体" w:hAnsi="宋体" w:eastAsia="宋体" w:cs="宋体"/>
          <w:color w:val="404040"/>
          <w:sz w:val="26"/>
          <w:szCs w:val="26"/>
          <w:highlight w:val="none"/>
        </w:rPr>
        <w:t>项目地点：福马路420号。</w:t>
      </w:r>
    </w:p>
    <w:p w14:paraId="232D7658">
      <w:pPr>
        <w:pStyle w:val="39"/>
        <w:numPr>
          <w:ilvl w:val="0"/>
          <w:numId w:val="1"/>
        </w:numPr>
        <w:adjustRightInd/>
        <w:snapToGrid/>
        <w:spacing w:after="0" w:line="480" w:lineRule="atLeast"/>
        <w:contextualSpacing w:val="0"/>
        <w:rPr>
          <w:rFonts w:ascii="宋体" w:hAnsi="宋体" w:eastAsia="宋体" w:cs="宋体"/>
          <w:b/>
          <w:bCs/>
          <w:color w:val="404040"/>
          <w:sz w:val="32"/>
          <w:szCs w:val="32"/>
          <w:highlight w:val="none"/>
        </w:rPr>
      </w:pPr>
      <w:r>
        <w:rPr>
          <w:rFonts w:hint="eastAsia" w:ascii="宋体" w:hAnsi="宋体" w:eastAsia="宋体" w:cs="宋体"/>
          <w:color w:val="404040"/>
          <w:sz w:val="26"/>
          <w:szCs w:val="26"/>
          <w:highlight w:val="none"/>
        </w:rPr>
        <w:t>招标范围和内容：详见本项目</w:t>
      </w:r>
      <w:r>
        <w:rPr>
          <w:rFonts w:hint="eastAsia" w:ascii="宋体" w:hAnsi="宋体" w:eastAsia="宋体" w:cs="宋体"/>
          <w:color w:val="404040"/>
          <w:sz w:val="26"/>
          <w:szCs w:val="26"/>
          <w:highlight w:val="none"/>
          <w:lang w:val="en-US" w:eastAsia="zh-CN"/>
        </w:rPr>
        <w:t>采购</w:t>
      </w:r>
      <w:r>
        <w:rPr>
          <w:rFonts w:hint="eastAsia" w:ascii="宋体" w:hAnsi="宋体" w:eastAsia="宋体" w:cs="宋体"/>
          <w:color w:val="404040"/>
          <w:sz w:val="26"/>
          <w:szCs w:val="26"/>
          <w:highlight w:val="none"/>
        </w:rPr>
        <w:t>清单。</w:t>
      </w:r>
    </w:p>
    <w:p w14:paraId="163C0362">
      <w:pPr>
        <w:pStyle w:val="39"/>
        <w:numPr>
          <w:ilvl w:val="0"/>
          <w:numId w:val="1"/>
        </w:numPr>
        <w:adjustRightInd/>
        <w:snapToGrid/>
        <w:spacing w:after="0" w:line="480" w:lineRule="atLeast"/>
        <w:contextualSpacing w:val="0"/>
        <w:rPr>
          <w:rFonts w:ascii="宋体" w:hAnsi="宋体" w:eastAsia="宋体" w:cs="宋体"/>
          <w:b/>
          <w:bCs/>
          <w:color w:val="404040"/>
          <w:sz w:val="32"/>
          <w:szCs w:val="32"/>
          <w:highlight w:val="none"/>
        </w:rPr>
      </w:pPr>
      <w:r>
        <w:rPr>
          <w:rFonts w:hint="eastAsia" w:ascii="宋体" w:hAnsi="宋体" w:eastAsia="宋体" w:cs="宋体"/>
          <w:color w:val="404040"/>
          <w:sz w:val="26"/>
          <w:szCs w:val="26"/>
          <w:highlight w:val="none"/>
        </w:rPr>
        <w:t>承包方式：包工包料。</w:t>
      </w:r>
    </w:p>
    <w:p w14:paraId="01FEEC4A">
      <w:pPr>
        <w:pStyle w:val="39"/>
        <w:numPr>
          <w:ilvl w:val="0"/>
          <w:numId w:val="1"/>
        </w:numPr>
        <w:adjustRightInd/>
        <w:snapToGrid/>
        <w:spacing w:after="0" w:line="480" w:lineRule="atLeast"/>
        <w:contextualSpacing w:val="0"/>
        <w:rPr>
          <w:rFonts w:hint="eastAsia" w:ascii="宋体" w:hAnsi="宋体" w:eastAsia="宋体" w:cs="宋体"/>
          <w:color w:val="404040"/>
          <w:sz w:val="26"/>
          <w:szCs w:val="26"/>
          <w:highlight w:val="none"/>
        </w:rPr>
      </w:pPr>
      <w:r>
        <w:rPr>
          <w:rFonts w:hint="eastAsia" w:ascii="宋体" w:hAnsi="宋体" w:eastAsia="宋体" w:cs="宋体"/>
          <w:color w:val="404040"/>
          <w:sz w:val="26"/>
          <w:szCs w:val="26"/>
          <w:highlight w:val="none"/>
        </w:rPr>
        <w:t>工期要求：合同签订后，接甲方通知后，</w:t>
      </w:r>
      <w:r>
        <w:rPr>
          <w:rFonts w:hint="eastAsia" w:ascii="宋体" w:hAnsi="宋体" w:eastAsia="宋体" w:cs="宋体"/>
          <w:color w:val="404040"/>
          <w:sz w:val="26"/>
          <w:szCs w:val="26"/>
          <w:highlight w:val="none"/>
          <w:lang w:val="en-US" w:eastAsia="zh-CN"/>
        </w:rPr>
        <w:t>35</w:t>
      </w:r>
      <w:r>
        <w:rPr>
          <w:rFonts w:hint="eastAsia" w:ascii="宋体" w:hAnsi="宋体" w:eastAsia="宋体" w:cs="宋体"/>
          <w:color w:val="404040"/>
          <w:sz w:val="26"/>
          <w:szCs w:val="26"/>
          <w:highlight w:val="none"/>
        </w:rPr>
        <w:t>个工作日内完工，要求不影响医院的正常工作。</w:t>
      </w:r>
    </w:p>
    <w:p w14:paraId="159ADFC0">
      <w:pPr>
        <w:pStyle w:val="39"/>
        <w:numPr>
          <w:ilvl w:val="0"/>
          <w:numId w:val="1"/>
        </w:numPr>
        <w:adjustRightInd/>
        <w:snapToGrid/>
        <w:spacing w:after="0" w:line="480" w:lineRule="atLeast"/>
        <w:contextualSpacing w:val="0"/>
        <w:rPr>
          <w:rFonts w:ascii="宋体" w:hAnsi="宋体" w:eastAsia="宋体" w:cs="宋体"/>
          <w:b/>
          <w:bCs/>
          <w:color w:val="404040"/>
          <w:sz w:val="32"/>
          <w:szCs w:val="32"/>
          <w:highlight w:val="none"/>
        </w:rPr>
      </w:pPr>
      <w:r>
        <w:rPr>
          <w:rFonts w:hint="eastAsia" w:ascii="宋体" w:hAnsi="宋体" w:eastAsia="宋体" w:cs="宋体"/>
          <w:color w:val="404040"/>
          <w:sz w:val="26"/>
          <w:szCs w:val="26"/>
          <w:highlight w:val="none"/>
        </w:rPr>
        <w:t>控制价：</w:t>
      </w:r>
      <w:r>
        <w:rPr>
          <w:rFonts w:hint="eastAsia" w:ascii="宋体" w:hAnsi="宋体" w:eastAsia="宋体" w:cs="宋体"/>
          <w:color w:val="404040"/>
          <w:sz w:val="26"/>
          <w:szCs w:val="26"/>
          <w:highlight w:val="none"/>
          <w:lang w:val="en-US" w:eastAsia="zh-CN"/>
        </w:rPr>
        <w:t>23.6</w:t>
      </w:r>
      <w:r>
        <w:rPr>
          <w:rFonts w:hint="eastAsia" w:ascii="宋体" w:hAnsi="宋体" w:eastAsia="宋体" w:cs="宋体"/>
          <w:color w:val="404040"/>
          <w:sz w:val="26"/>
          <w:szCs w:val="26"/>
          <w:highlight w:val="none"/>
        </w:rPr>
        <w:t>万元。</w:t>
      </w:r>
    </w:p>
    <w:p w14:paraId="70EDBC92">
      <w:pPr>
        <w:pStyle w:val="39"/>
        <w:numPr>
          <w:ilvl w:val="0"/>
          <w:numId w:val="1"/>
        </w:numPr>
        <w:adjustRightInd/>
        <w:snapToGrid/>
        <w:spacing w:after="0" w:line="480" w:lineRule="atLeast"/>
        <w:contextualSpacing w:val="0"/>
        <w:rPr>
          <w:rFonts w:ascii="宋体" w:hAnsi="宋体" w:eastAsia="宋体" w:cs="宋体"/>
          <w:b/>
          <w:bCs/>
          <w:color w:val="404040"/>
          <w:sz w:val="32"/>
          <w:szCs w:val="32"/>
          <w:highlight w:val="none"/>
        </w:rPr>
      </w:pPr>
      <w:r>
        <w:rPr>
          <w:rFonts w:hint="eastAsia" w:ascii="宋体" w:hAnsi="宋体" w:eastAsia="宋体" w:cs="宋体"/>
          <w:color w:val="404040"/>
          <w:sz w:val="26"/>
          <w:szCs w:val="26"/>
          <w:highlight w:val="none"/>
        </w:rPr>
        <w:t>质保期：壹年，自工程竣工验收合格之日算起。</w:t>
      </w:r>
      <w:bookmarkStart w:id="0" w:name="_GoBack"/>
      <w:bookmarkEnd w:id="0"/>
    </w:p>
    <w:p w14:paraId="005AC7E8">
      <w:pPr>
        <w:adjustRightInd/>
        <w:snapToGrid/>
        <w:spacing w:after="0" w:line="480" w:lineRule="atLeast"/>
        <w:rPr>
          <w:rFonts w:ascii="宋体" w:hAnsi="宋体" w:eastAsia="宋体" w:cs="宋体"/>
          <w:b/>
          <w:bCs/>
          <w:color w:val="404040"/>
          <w:sz w:val="32"/>
          <w:szCs w:val="32"/>
          <w:highlight w:val="none"/>
        </w:rPr>
      </w:pPr>
      <w:r>
        <w:rPr>
          <w:rFonts w:hint="eastAsia" w:ascii="黑体" w:hAnsi="黑体" w:eastAsia="黑体" w:cs="宋体"/>
          <w:b/>
          <w:bCs/>
          <w:color w:val="404040"/>
          <w:sz w:val="26"/>
          <w:highlight w:val="none"/>
        </w:rPr>
        <w:t>二、投标人资格要求及审查办法</w:t>
      </w:r>
    </w:p>
    <w:p w14:paraId="2E887518">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满足《中华人民共和国政府采购法》第二十二条规定。</w:t>
      </w:r>
    </w:p>
    <w:p w14:paraId="4C33E44B">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落实政府采购政策需满足的资格要求。</w:t>
      </w:r>
    </w:p>
    <w:p w14:paraId="3B6C8210">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委托代表人资格证明书（附法人及委托人身份证）。</w:t>
      </w:r>
    </w:p>
    <w:p w14:paraId="4F850881">
      <w:pPr>
        <w:pStyle w:val="39"/>
        <w:numPr>
          <w:ilvl w:val="0"/>
          <w:numId w:val="2"/>
        </w:numPr>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财务状况报告（最近一个年度经审计的财务报告或资信证明或投标担保函）；</w:t>
      </w:r>
    </w:p>
    <w:p w14:paraId="4F22703A">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参加本次活动前三年内，在经营活动中没有重大违法违规记录的承诺。</w:t>
      </w:r>
    </w:p>
    <w:p w14:paraId="5C176F4E">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资格审查采用方式：资格后审。</w:t>
      </w:r>
    </w:p>
    <w:p w14:paraId="040C4DF0">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本招标项目不接受联合体投标，不接受备选投标方案，不允许分包。</w:t>
      </w:r>
    </w:p>
    <w:p w14:paraId="72EBFBAD">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投标人应通过“信用中国（</w:t>
      </w:r>
      <w:r>
        <w:rPr>
          <w:highlight w:val="none"/>
        </w:rPr>
        <w:fldChar w:fldCharType="begin"/>
      </w:r>
      <w:r>
        <w:rPr>
          <w:highlight w:val="none"/>
        </w:rPr>
        <w:instrText xml:space="preserve"> HYPERLINK "http://www.creditchina.gov.cn/" </w:instrText>
      </w:r>
      <w:r>
        <w:rPr>
          <w:highlight w:val="none"/>
        </w:rPr>
        <w:fldChar w:fldCharType="separate"/>
      </w:r>
      <w:r>
        <w:rPr>
          <w:rFonts w:hint="eastAsia"/>
          <w:color w:val="404040"/>
          <w:highlight w:val="none"/>
        </w:rPr>
        <w:t>www.creditchina.gov.cn</w:t>
      </w:r>
      <w:r>
        <w:rPr>
          <w:rFonts w:hint="eastAsia"/>
          <w:color w:val="404040"/>
          <w:highlight w:val="none"/>
        </w:rPr>
        <w:fldChar w:fldCharType="end"/>
      </w:r>
      <w:r>
        <w:rPr>
          <w:rFonts w:hint="eastAsia" w:ascii="宋体" w:hAnsi="宋体" w:eastAsia="宋体" w:cs="宋体"/>
          <w:color w:val="404040"/>
          <w:sz w:val="26"/>
          <w:szCs w:val="26"/>
          <w:highlight w:val="none"/>
        </w:rPr>
        <w:t>)”、“中国政府采购网(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color w:val="404040"/>
          <w:highlight w:val="none"/>
        </w:rPr>
        <w:t>www.ccgp.gov.cn</w:t>
      </w:r>
      <w:r>
        <w:rPr>
          <w:rFonts w:hint="eastAsia"/>
          <w:color w:val="404040"/>
          <w:highlight w:val="none"/>
        </w:rPr>
        <w:fldChar w:fldCharType="end"/>
      </w:r>
      <w:r>
        <w:rPr>
          <w:rFonts w:hint="eastAsia" w:ascii="宋体" w:hAnsi="宋体" w:eastAsia="宋体" w:cs="宋体"/>
          <w:color w:val="404040"/>
          <w:sz w:val="26"/>
          <w:szCs w:val="26"/>
          <w:highlight w:val="none"/>
        </w:rPr>
        <w:t>)”查询并打印相应的信用记录。</w:t>
      </w:r>
    </w:p>
    <w:p w14:paraId="24E18B12">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47337C22">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现场勘察：本次招标，采购人不统一组织勘察现场。各潜在投标人若需要查勘现场，应事先与采购人联系现场勘察事宜。</w:t>
      </w:r>
    </w:p>
    <w:p w14:paraId="66B1471F">
      <w:pPr>
        <w:pStyle w:val="39"/>
        <w:numPr>
          <w:ilvl w:val="0"/>
          <w:numId w:val="2"/>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上述提供材料均须加盖公章。</w:t>
      </w:r>
    </w:p>
    <w:p w14:paraId="56F5F154">
      <w:pPr>
        <w:adjustRightInd/>
        <w:snapToGrid/>
        <w:spacing w:before="150" w:after="0" w:line="480" w:lineRule="atLeast"/>
        <w:ind w:firstLine="520" w:firstLineChars="200"/>
        <w:jc w:val="both"/>
        <w:rPr>
          <w:rFonts w:hint="eastAsia" w:ascii="宋体" w:hAnsi="宋体" w:eastAsia="宋体" w:cs="宋体"/>
          <w:color w:val="404040"/>
          <w:sz w:val="26"/>
          <w:szCs w:val="26"/>
          <w:highlight w:val="none"/>
        </w:rPr>
      </w:pPr>
      <w:r>
        <w:rPr>
          <w:rFonts w:hint="eastAsia" w:cs="宋体" w:asciiTheme="minorEastAsia" w:hAnsiTheme="minorEastAsia" w:eastAsiaTheme="minorEastAsia"/>
          <w:color w:val="404040"/>
          <w:sz w:val="26"/>
          <w:szCs w:val="26"/>
          <w:highlight w:val="none"/>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6EC12606">
      <w:pPr>
        <w:pStyle w:val="39"/>
        <w:numPr>
          <w:ilvl w:val="0"/>
          <w:numId w:val="0"/>
        </w:numPr>
        <w:adjustRightInd/>
        <w:snapToGrid/>
        <w:spacing w:after="0" w:line="480" w:lineRule="atLeast"/>
        <w:ind w:left="390" w:leftChars="0"/>
        <w:contextualSpacing w:val="0"/>
        <w:rPr>
          <w:rFonts w:ascii="宋体" w:hAnsi="宋体" w:eastAsia="宋体" w:cs="宋体"/>
          <w:color w:val="404040"/>
          <w:sz w:val="26"/>
          <w:szCs w:val="26"/>
          <w:highlight w:val="none"/>
        </w:rPr>
      </w:pPr>
    </w:p>
    <w:p w14:paraId="04F23BA6">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三、招标文件的获取</w:t>
      </w:r>
    </w:p>
    <w:p w14:paraId="326E6507">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宋体" w:hAnsi="宋体" w:eastAsia="宋体" w:cs="宋体"/>
          <w:color w:val="404040"/>
          <w:sz w:val="26"/>
          <w:szCs w:val="26"/>
          <w:highlight w:val="none"/>
        </w:rPr>
        <w:t>1、本招标项目不采用电子招投标。</w:t>
      </w:r>
    </w:p>
    <w:p w14:paraId="14C12172">
      <w:pPr>
        <w:adjustRightInd/>
        <w:snapToGrid/>
        <w:spacing w:before="150" w:after="0" w:line="480" w:lineRule="atLeast"/>
        <w:jc w:val="both"/>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2、凡有意参加投标者，均可在福建省肿瘤医院官网（</w:t>
      </w:r>
      <w:r>
        <w:rPr>
          <w:rFonts w:ascii="宋体" w:hAnsi="宋体" w:eastAsia="宋体" w:cs="宋体"/>
          <w:color w:val="404040"/>
          <w:sz w:val="26"/>
          <w:szCs w:val="26"/>
          <w:highlight w:val="none"/>
        </w:rPr>
        <w:t>https://www.fjzl.com.cn</w:t>
      </w:r>
      <w:r>
        <w:rPr>
          <w:rFonts w:hint="eastAsia" w:ascii="宋体" w:hAnsi="宋体" w:eastAsia="宋体" w:cs="宋体"/>
          <w:color w:val="404040"/>
          <w:sz w:val="26"/>
          <w:szCs w:val="26"/>
          <w:highlight w:val="none"/>
        </w:rPr>
        <w:t>）下载与本项目相关的招标信息（包括招标文件、招标文件补充说明等），并于</w:t>
      </w:r>
      <w:r>
        <w:rPr>
          <w:rFonts w:hint="eastAsia" w:ascii="宋体" w:hAnsi="宋体" w:eastAsia="宋体" w:cs="宋体"/>
          <w:color w:val="404040"/>
          <w:sz w:val="26"/>
          <w:szCs w:val="26"/>
          <w:highlight w:val="none"/>
          <w:lang w:val="en-US" w:eastAsia="zh-CN"/>
        </w:rPr>
        <w:t>2025</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21</w:t>
      </w:r>
      <w:r>
        <w:rPr>
          <w:rFonts w:hint="eastAsia" w:ascii="宋体" w:hAnsi="宋体" w:eastAsia="宋体" w:cs="宋体"/>
          <w:color w:val="404040"/>
          <w:sz w:val="26"/>
          <w:szCs w:val="26"/>
          <w:highlight w:val="none"/>
        </w:rPr>
        <w:t>日至2024年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w:t>
      </w:r>
      <w:r>
        <w:rPr>
          <w:rFonts w:hint="eastAsia" w:ascii="宋体" w:hAnsi="宋体" w:eastAsia="宋体" w:cs="宋体"/>
          <w:color w:val="404040"/>
          <w:sz w:val="26"/>
          <w:szCs w:val="26"/>
          <w:highlight w:val="none"/>
          <w:lang w:val="en-US" w:eastAsia="zh-CN"/>
        </w:rPr>
        <w:t>27</w:t>
      </w:r>
      <w:r>
        <w:rPr>
          <w:rFonts w:hint="eastAsia" w:ascii="宋体" w:hAnsi="宋体" w:eastAsia="宋体" w:cs="宋体"/>
          <w:color w:val="404040"/>
          <w:sz w:val="26"/>
          <w:szCs w:val="26"/>
          <w:highlight w:val="none"/>
        </w:rPr>
        <w:t>日(节假日除外)8：00-12：00或14：</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0-17：</w:t>
      </w:r>
      <w:r>
        <w:rPr>
          <w:rFonts w:hint="eastAsia" w:ascii="宋体" w:hAnsi="宋体" w:eastAsia="宋体" w:cs="宋体"/>
          <w:color w:val="404040"/>
          <w:sz w:val="26"/>
          <w:szCs w:val="26"/>
          <w:highlight w:val="none"/>
          <w:lang w:val="en-US" w:eastAsia="zh-CN"/>
        </w:rPr>
        <w:t>0</w:t>
      </w:r>
      <w:r>
        <w:rPr>
          <w:rFonts w:hint="eastAsia" w:ascii="宋体" w:hAnsi="宋体" w:eastAsia="宋体" w:cs="宋体"/>
          <w:color w:val="404040"/>
          <w:sz w:val="26"/>
          <w:szCs w:val="26"/>
          <w:highlight w:val="none"/>
        </w:rPr>
        <w:t>0，携带加盖公章的营业执照复印件、介绍信前往福建省肿瘤医院总务科报名。</w:t>
      </w:r>
    </w:p>
    <w:p w14:paraId="7FDEA402">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宋体" w:hAnsi="宋体" w:eastAsia="宋体" w:cs="宋体"/>
          <w:color w:val="404040"/>
          <w:sz w:val="26"/>
          <w:szCs w:val="26"/>
          <w:highlight w:val="none"/>
        </w:rPr>
        <w:t>项目联系人：陈女士联系电话：0591-62752801</w:t>
      </w:r>
    </w:p>
    <w:p w14:paraId="79170805">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四、答疑截止时间</w:t>
      </w:r>
    </w:p>
    <w:p w14:paraId="4DF46170">
      <w:pPr>
        <w:adjustRightInd/>
        <w:snapToGrid/>
        <w:spacing w:before="150" w:after="0" w:line="480" w:lineRule="atLeast"/>
        <w:ind w:firstLine="480"/>
        <w:jc w:val="both"/>
        <w:rPr>
          <w:rFonts w:ascii="方正仿宋简体" w:hAnsi="宋体" w:eastAsia="方正仿宋简体" w:cs="宋体"/>
          <w:color w:val="404040"/>
          <w:sz w:val="28"/>
          <w:szCs w:val="28"/>
          <w:highlight w:val="none"/>
        </w:rPr>
      </w:pPr>
      <w:r>
        <w:rPr>
          <w:rFonts w:hint="eastAsia" w:ascii="宋体" w:hAnsi="宋体" w:eastAsia="宋体" w:cs="宋体"/>
          <w:color w:val="404040"/>
          <w:sz w:val="26"/>
          <w:szCs w:val="26"/>
          <w:highlight w:val="none"/>
        </w:rPr>
        <w:t>投标人若要求澄清招标文件，应在</w:t>
      </w:r>
      <w:r>
        <w:rPr>
          <w:rFonts w:hint="eastAsia" w:ascii="宋体" w:hAnsi="宋体" w:eastAsia="宋体" w:cs="宋体"/>
          <w:color w:val="404040"/>
          <w:sz w:val="26"/>
          <w:szCs w:val="26"/>
          <w:highlight w:val="none"/>
          <w:lang w:val="en-US" w:eastAsia="zh-CN"/>
        </w:rPr>
        <w:t>报名</w:t>
      </w:r>
      <w:r>
        <w:rPr>
          <w:rFonts w:hint="eastAsia" w:ascii="宋体" w:hAnsi="宋体" w:eastAsia="宋体" w:cs="宋体"/>
          <w:color w:val="404040"/>
          <w:sz w:val="26"/>
          <w:szCs w:val="26"/>
          <w:highlight w:val="none"/>
        </w:rPr>
        <w:t>截止时间</w:t>
      </w:r>
      <w:r>
        <w:rPr>
          <w:rFonts w:hint="eastAsia" w:ascii="宋体" w:hAnsi="宋体" w:eastAsia="宋体" w:cs="宋体"/>
          <w:color w:val="404040"/>
          <w:sz w:val="26"/>
          <w:szCs w:val="26"/>
          <w:highlight w:val="none"/>
          <w:lang w:val="en-US" w:eastAsia="zh-CN"/>
        </w:rPr>
        <w:t>前</w:t>
      </w:r>
      <w:r>
        <w:rPr>
          <w:rFonts w:hint="eastAsia" w:ascii="宋体" w:hAnsi="宋体" w:eastAsia="宋体" w:cs="宋体"/>
          <w:color w:val="404040"/>
          <w:sz w:val="26"/>
          <w:szCs w:val="26"/>
          <w:highlight w:val="none"/>
        </w:rPr>
        <w:t>提出，招标人将随时解答。</w:t>
      </w:r>
    </w:p>
    <w:p w14:paraId="7EC32AAB">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五、投标文件的要求及递交</w:t>
      </w:r>
    </w:p>
    <w:p w14:paraId="37C82137">
      <w:pPr>
        <w:pStyle w:val="39"/>
        <w:numPr>
          <w:ilvl w:val="0"/>
          <w:numId w:val="3"/>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投标文件正本壹份</w:t>
      </w:r>
      <w:r>
        <w:rPr>
          <w:rFonts w:ascii="宋体" w:hAnsi="宋体" w:eastAsia="宋体" w:cs="宋体"/>
          <w:color w:val="404040"/>
          <w:sz w:val="26"/>
          <w:szCs w:val="26"/>
          <w:highlight w:val="none"/>
        </w:rPr>
        <w:t>,</w:t>
      </w:r>
      <w:r>
        <w:rPr>
          <w:rFonts w:hint="eastAsia" w:ascii="宋体" w:hAnsi="宋体" w:eastAsia="宋体" w:cs="宋体"/>
          <w:color w:val="404040"/>
          <w:sz w:val="26"/>
          <w:szCs w:val="26"/>
          <w:highlight w:val="none"/>
        </w:rPr>
        <w:t>副本壹份胶装并密封加盖投标人公章。投标文件未胶装密封将导致其投标文件被拒绝。</w:t>
      </w:r>
    </w:p>
    <w:p w14:paraId="5EAE0947">
      <w:pPr>
        <w:pStyle w:val="39"/>
        <w:numPr>
          <w:ilvl w:val="0"/>
          <w:numId w:val="3"/>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投标文件递交的截止时间：202</w:t>
      </w:r>
      <w:r>
        <w:rPr>
          <w:rFonts w:hint="eastAsia" w:ascii="宋体" w:hAnsi="宋体" w:eastAsia="宋体" w:cs="宋体"/>
          <w:color w:val="404040"/>
          <w:sz w:val="26"/>
          <w:szCs w:val="26"/>
          <w:highlight w:val="none"/>
          <w:lang w:val="en-US" w:eastAsia="zh-CN"/>
        </w:rPr>
        <w:t>5</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月2</w:t>
      </w:r>
      <w:r>
        <w:rPr>
          <w:rFonts w:hint="eastAsia" w:ascii="宋体" w:hAnsi="宋体" w:eastAsia="宋体" w:cs="宋体"/>
          <w:color w:val="404040"/>
          <w:sz w:val="26"/>
          <w:szCs w:val="26"/>
          <w:highlight w:val="none"/>
          <w:lang w:val="en-US" w:eastAsia="zh-CN"/>
        </w:rPr>
        <w:t>8</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:00，提交地点为福建省肿瘤医院总务科，未送达指定地点或逾期送达者拒收。</w:t>
      </w:r>
    </w:p>
    <w:p w14:paraId="274CA046">
      <w:pPr>
        <w:adjustRightInd/>
        <w:snapToGrid/>
        <w:spacing w:before="150" w:after="0" w:line="480" w:lineRule="atLeast"/>
        <w:jc w:val="both"/>
        <w:rPr>
          <w:rFonts w:ascii="黑体" w:hAnsi="黑体" w:eastAsia="黑体" w:cs="宋体"/>
          <w:b/>
          <w:bCs/>
          <w:color w:val="404040"/>
          <w:sz w:val="26"/>
          <w:highlight w:val="none"/>
        </w:rPr>
      </w:pPr>
      <w:r>
        <w:rPr>
          <w:rFonts w:hint="eastAsia" w:ascii="黑体" w:hAnsi="黑体" w:eastAsia="黑体" w:cs="宋体"/>
          <w:b/>
          <w:bCs/>
          <w:color w:val="404040"/>
          <w:sz w:val="26"/>
          <w:highlight w:val="none"/>
        </w:rPr>
        <w:t>六、开标评标时间地点</w:t>
      </w:r>
    </w:p>
    <w:p w14:paraId="7C5AB21E">
      <w:pPr>
        <w:adjustRightInd/>
        <w:snapToGrid/>
        <w:spacing w:before="150" w:after="0" w:line="480" w:lineRule="atLeast"/>
        <w:ind w:firstLine="390" w:firstLineChars="150"/>
        <w:jc w:val="both"/>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1、开标时间：202</w:t>
      </w:r>
      <w:r>
        <w:rPr>
          <w:rFonts w:hint="eastAsia" w:ascii="宋体" w:hAnsi="宋体" w:eastAsia="宋体" w:cs="宋体"/>
          <w:color w:val="404040"/>
          <w:sz w:val="26"/>
          <w:szCs w:val="26"/>
          <w:highlight w:val="none"/>
          <w:lang w:val="en-US" w:eastAsia="zh-CN"/>
        </w:rPr>
        <w:t>5</w:t>
      </w:r>
      <w:r>
        <w:rPr>
          <w:rFonts w:hint="eastAsia" w:ascii="宋体" w:hAnsi="宋体" w:eastAsia="宋体" w:cs="宋体"/>
          <w:color w:val="404040"/>
          <w:sz w:val="26"/>
          <w:szCs w:val="26"/>
          <w:highlight w:val="none"/>
        </w:rPr>
        <w:t>年</w:t>
      </w:r>
      <w:r>
        <w:rPr>
          <w:rFonts w:hint="eastAsia" w:ascii="宋体" w:hAnsi="宋体" w:eastAsia="宋体" w:cs="宋体"/>
          <w:color w:val="404040"/>
          <w:sz w:val="26"/>
          <w:szCs w:val="26"/>
          <w:highlight w:val="none"/>
          <w:lang w:val="en-US" w:eastAsia="zh-CN"/>
        </w:rPr>
        <w:t>11</w:t>
      </w:r>
      <w:r>
        <w:rPr>
          <w:rFonts w:hint="eastAsia" w:ascii="宋体" w:hAnsi="宋体" w:eastAsia="宋体" w:cs="宋体"/>
          <w:color w:val="404040"/>
          <w:sz w:val="26"/>
          <w:szCs w:val="26"/>
          <w:highlight w:val="none"/>
        </w:rPr>
        <w:t>月2</w:t>
      </w:r>
      <w:r>
        <w:rPr>
          <w:rFonts w:hint="eastAsia" w:ascii="宋体" w:hAnsi="宋体" w:eastAsia="宋体" w:cs="宋体"/>
          <w:color w:val="404040"/>
          <w:sz w:val="26"/>
          <w:szCs w:val="26"/>
          <w:highlight w:val="none"/>
          <w:lang w:val="en-US" w:eastAsia="zh-CN"/>
        </w:rPr>
        <w:t>8</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:00时</w:t>
      </w:r>
    </w:p>
    <w:p w14:paraId="0A9CE39A">
      <w:pPr>
        <w:adjustRightInd/>
        <w:snapToGrid/>
        <w:spacing w:before="150" w:after="0" w:line="480" w:lineRule="atLeast"/>
        <w:ind w:firstLine="480"/>
        <w:jc w:val="both"/>
        <w:rPr>
          <w:rFonts w:ascii="方正仿宋简体" w:hAnsi="宋体" w:eastAsia="方正仿宋简体" w:cs="宋体"/>
          <w:color w:val="404040"/>
          <w:sz w:val="28"/>
          <w:szCs w:val="28"/>
          <w:highlight w:val="none"/>
        </w:rPr>
      </w:pPr>
      <w:r>
        <w:rPr>
          <w:rFonts w:hint="eastAsia" w:ascii="宋体" w:hAnsi="宋体" w:eastAsia="宋体" w:cs="宋体"/>
          <w:color w:val="404040"/>
          <w:sz w:val="26"/>
          <w:szCs w:val="26"/>
          <w:highlight w:val="none"/>
        </w:rPr>
        <w:t>2、评标时间：开标后即开始评标。</w:t>
      </w:r>
    </w:p>
    <w:p w14:paraId="1F514F12">
      <w:pPr>
        <w:adjustRightInd/>
        <w:snapToGrid/>
        <w:spacing w:before="150" w:after="0" w:line="480" w:lineRule="atLeast"/>
        <w:ind w:firstLine="520" w:firstLineChars="200"/>
        <w:jc w:val="both"/>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3、地点：福建省肿瘤医院科研楼一楼总务科</w:t>
      </w:r>
    </w:p>
    <w:p w14:paraId="22D716C2">
      <w:pPr>
        <w:adjustRightInd/>
        <w:snapToGrid/>
        <w:spacing w:before="150" w:after="0" w:line="480" w:lineRule="atLeast"/>
        <w:ind w:firstLine="480"/>
        <w:jc w:val="both"/>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备注：</w:t>
      </w:r>
    </w:p>
    <w:p w14:paraId="28F7E265">
      <w:pPr>
        <w:spacing w:before="150" w:line="560" w:lineRule="exact"/>
        <w:ind w:firstLine="520" w:firstLineChars="20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1. 未参加报名的潜在投标人，其投标文件将被拒绝。</w:t>
      </w:r>
    </w:p>
    <w:p w14:paraId="4DCFA933">
      <w:pPr>
        <w:spacing w:before="150" w:line="560" w:lineRule="exact"/>
        <w:ind w:firstLine="520" w:firstLineChars="20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2.若有涉及招标文件内容更正，请各潜在投标人密切关注福建省肿瘤医院官网通知，以最新公告为准。</w:t>
      </w:r>
    </w:p>
    <w:p w14:paraId="116F8196">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八、评标原则及办法</w:t>
      </w:r>
    </w:p>
    <w:p w14:paraId="773920FB">
      <w:pPr>
        <w:pStyle w:val="39"/>
        <w:numPr>
          <w:ilvl w:val="0"/>
          <w:numId w:val="4"/>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评标活动遵循公平、公正、科学和择优的原则。</w:t>
      </w:r>
    </w:p>
    <w:p w14:paraId="23B65199">
      <w:pPr>
        <w:pStyle w:val="39"/>
        <w:numPr>
          <w:ilvl w:val="0"/>
          <w:numId w:val="4"/>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评标方法：</w:t>
      </w:r>
      <w:r>
        <w:rPr>
          <w:rFonts w:hint="eastAsia" w:ascii="宋体" w:hAnsi="宋体" w:eastAsia="宋体" w:cs="宋体"/>
          <w:color w:val="404040"/>
          <w:sz w:val="26"/>
          <w:szCs w:val="26"/>
          <w:highlight w:val="none"/>
          <w:lang w:val="en-US" w:eastAsia="zh-CN"/>
        </w:rPr>
        <w:t>综合评分</w:t>
      </w:r>
      <w:r>
        <w:rPr>
          <w:rFonts w:hint="eastAsia" w:ascii="宋体" w:hAnsi="宋体" w:eastAsia="宋体" w:cs="宋体"/>
          <w:color w:val="404040"/>
          <w:sz w:val="26"/>
          <w:szCs w:val="26"/>
          <w:highlight w:val="none"/>
        </w:rPr>
        <w:t>。</w:t>
      </w:r>
    </w:p>
    <w:p w14:paraId="7DEF6E78">
      <w:pPr>
        <w:pStyle w:val="39"/>
        <w:numPr>
          <w:ilvl w:val="0"/>
          <w:numId w:val="4"/>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投标人之间有相互串通投标、弄虚作假等违规行为者，将作废标处理，并在我院未来的项目招标中被拒绝接受投标。</w:t>
      </w:r>
    </w:p>
    <w:p w14:paraId="095BB6D1">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九、合同条款内容及签订</w:t>
      </w:r>
    </w:p>
    <w:p w14:paraId="61D33FB6">
      <w:pPr>
        <w:pStyle w:val="39"/>
        <w:numPr>
          <w:ilvl w:val="0"/>
          <w:numId w:val="5"/>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合同专用条款内容依照国家规范文本，合同通用条款内容解释依照国家规范文本。</w:t>
      </w:r>
    </w:p>
    <w:p w14:paraId="123D1657">
      <w:pPr>
        <w:pStyle w:val="39"/>
        <w:numPr>
          <w:ilvl w:val="0"/>
          <w:numId w:val="5"/>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合同签订：中标人在接到中标通知后3天内，应派代表与招标人联系，商讨签订合同事宜。</w:t>
      </w:r>
    </w:p>
    <w:p w14:paraId="0F8F36F1">
      <w:pPr>
        <w:adjustRightInd/>
        <w:snapToGrid/>
        <w:spacing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十、付款方式与条件</w:t>
      </w:r>
    </w:p>
    <w:p w14:paraId="6AD0D7A5">
      <w:pPr>
        <w:adjustRightInd/>
        <w:snapToGrid/>
        <w:spacing w:after="0" w:line="480" w:lineRule="atLeast"/>
        <w:ind w:firstLine="480"/>
        <w:jc w:val="both"/>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经甲方验收合格后，支付合同金额的100%。</w:t>
      </w:r>
    </w:p>
    <w:p w14:paraId="43BB484D">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十一、其他未详尽事宜</w:t>
      </w:r>
    </w:p>
    <w:p w14:paraId="3A178D08">
      <w:pPr>
        <w:adjustRightInd/>
        <w:snapToGrid/>
        <w:spacing w:before="150" w:after="0" w:line="480" w:lineRule="atLeast"/>
        <w:ind w:firstLine="480"/>
        <w:jc w:val="both"/>
        <w:rPr>
          <w:rFonts w:ascii="方正仿宋简体" w:hAnsi="宋体" w:eastAsia="方正仿宋简体" w:cs="宋体"/>
          <w:color w:val="404040"/>
          <w:sz w:val="28"/>
          <w:szCs w:val="28"/>
          <w:highlight w:val="none"/>
        </w:rPr>
      </w:pPr>
      <w:r>
        <w:rPr>
          <w:rFonts w:hint="eastAsia" w:ascii="宋体" w:hAnsi="宋体" w:eastAsia="宋体" w:cs="宋体"/>
          <w:color w:val="404040"/>
          <w:sz w:val="26"/>
          <w:szCs w:val="26"/>
          <w:highlight w:val="none"/>
        </w:rPr>
        <w:t>依照国家政府采购有关规定。</w:t>
      </w:r>
    </w:p>
    <w:p w14:paraId="792E852B">
      <w:pPr>
        <w:adjustRightInd/>
        <w:snapToGrid/>
        <w:spacing w:before="150" w:after="0" w:line="480" w:lineRule="atLeast"/>
        <w:jc w:val="both"/>
        <w:rPr>
          <w:rFonts w:ascii="方正仿宋简体" w:hAnsi="宋体" w:eastAsia="方正仿宋简体" w:cs="宋体"/>
          <w:color w:val="404040"/>
          <w:sz w:val="28"/>
          <w:szCs w:val="28"/>
          <w:highlight w:val="none"/>
        </w:rPr>
      </w:pPr>
      <w:r>
        <w:rPr>
          <w:rFonts w:hint="eastAsia" w:ascii="黑体" w:hAnsi="黑体" w:eastAsia="黑体" w:cs="宋体"/>
          <w:b/>
          <w:bCs/>
          <w:color w:val="404040"/>
          <w:sz w:val="26"/>
          <w:highlight w:val="none"/>
        </w:rPr>
        <w:t>十二、工程量清单</w:t>
      </w:r>
    </w:p>
    <w:p w14:paraId="22357FA3">
      <w:pPr>
        <w:adjustRightInd/>
        <w:snapToGrid/>
        <w:spacing w:before="150" w:after="0" w:line="480" w:lineRule="atLeast"/>
        <w:ind w:firstLine="480"/>
        <w:jc w:val="both"/>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1.工程量清单每一个子目只允许有一个报价，没有填入单价或价格的， 其费用视为已分摊在工程量清单中的其他相关子目单价或价格中。</w:t>
      </w:r>
    </w:p>
    <w:p w14:paraId="0F5AFCAC">
      <w:pPr>
        <w:adjustRightInd/>
        <w:snapToGrid/>
        <w:spacing w:before="150" w:after="0" w:line="480" w:lineRule="atLeast"/>
        <w:jc w:val="both"/>
        <w:rPr>
          <w:rFonts w:ascii="黑体" w:hAnsi="黑体" w:eastAsia="黑体" w:cs="宋体"/>
          <w:b/>
          <w:bCs/>
          <w:color w:val="404040"/>
          <w:sz w:val="26"/>
          <w:highlight w:val="none"/>
        </w:rPr>
      </w:pPr>
      <w:r>
        <w:rPr>
          <w:rFonts w:hint="eastAsia" w:ascii="黑体" w:hAnsi="黑体" w:eastAsia="黑体" w:cs="宋体"/>
          <w:b/>
          <w:bCs/>
          <w:color w:val="404040"/>
          <w:sz w:val="26"/>
          <w:highlight w:val="none"/>
        </w:rPr>
        <w:t>十三、监督电话</w:t>
      </w:r>
    </w:p>
    <w:p w14:paraId="3BE5E3B3">
      <w:pPr>
        <w:adjustRightInd/>
        <w:snapToGrid/>
        <w:spacing w:before="150" w:after="0" w:line="480" w:lineRule="atLeast"/>
        <w:ind w:firstLine="480"/>
        <w:jc w:val="both"/>
        <w:rPr>
          <w:rFonts w:ascii="宋体" w:hAnsi="宋体" w:eastAsia="宋体" w:cs="宋体"/>
          <w:color w:val="404040"/>
          <w:sz w:val="26"/>
          <w:szCs w:val="26"/>
          <w:highlight w:val="none"/>
        </w:rPr>
      </w:pPr>
      <w:r>
        <w:rPr>
          <w:rFonts w:ascii="宋体" w:hAnsi="宋体" w:eastAsia="宋体" w:cs="宋体"/>
          <w:color w:val="404040"/>
          <w:sz w:val="26"/>
          <w:szCs w:val="26"/>
          <w:highlight w:val="none"/>
        </w:rPr>
        <w:t>在采购报名、采购调研等采购过程中有任何异议，可联系我院监督科室。电话：83660063-8407；83660063-8467。</w:t>
      </w:r>
    </w:p>
    <w:p w14:paraId="1253465E">
      <w:pPr>
        <w:adjustRightInd/>
        <w:snapToGrid/>
        <w:spacing w:after="0"/>
        <w:rPr>
          <w:rFonts w:hint="eastAsia" w:ascii="宋体" w:hAnsi="宋体" w:eastAsia="宋体" w:cs="宋体"/>
          <w:color w:val="404040"/>
          <w:sz w:val="26"/>
          <w:szCs w:val="26"/>
          <w:highlight w:val="none"/>
          <w:lang w:val="en-US" w:eastAsia="zh-CN"/>
        </w:rPr>
      </w:pPr>
      <w:r>
        <w:rPr>
          <w:rFonts w:hint="eastAsia" w:ascii="宋体" w:hAnsi="宋体" w:eastAsia="宋体" w:cs="宋体"/>
          <w:color w:val="404040"/>
          <w:sz w:val="26"/>
          <w:szCs w:val="26"/>
          <w:highlight w:val="none"/>
          <w:lang w:val="en-US" w:eastAsia="zh-CN"/>
        </w:rPr>
        <w:t xml:space="preserve">                                                 福建省肿瘤医院</w:t>
      </w:r>
    </w:p>
    <w:p w14:paraId="7F48091D">
      <w:pPr>
        <w:adjustRightInd/>
        <w:snapToGrid/>
        <w:spacing w:after="0"/>
        <w:jc w:val="right"/>
        <w:rPr>
          <w:rFonts w:hint="default" w:ascii="宋体" w:hAnsi="宋体" w:eastAsia="宋体" w:cs="宋体"/>
          <w:color w:val="404040"/>
          <w:sz w:val="26"/>
          <w:szCs w:val="26"/>
          <w:highlight w:val="none"/>
          <w:lang w:val="en-US" w:eastAsia="zh-CN"/>
        </w:rPr>
      </w:pPr>
      <w:r>
        <w:rPr>
          <w:rFonts w:hint="eastAsia" w:ascii="宋体" w:hAnsi="宋体" w:eastAsia="宋体" w:cs="宋体"/>
          <w:color w:val="404040"/>
          <w:sz w:val="26"/>
          <w:szCs w:val="26"/>
          <w:highlight w:val="none"/>
          <w:lang w:val="en-US" w:eastAsia="zh-CN"/>
        </w:rPr>
        <w:t>2025年11月20日</w:t>
      </w:r>
      <w:r>
        <w:rPr>
          <w:rFonts w:hint="eastAsia" w:ascii="宋体" w:hAnsi="宋体" w:eastAsia="宋体" w:cs="宋体"/>
          <w:color w:val="404040"/>
          <w:sz w:val="26"/>
          <w:szCs w:val="26"/>
          <w:highlight w:val="none"/>
        </w:rPr>
        <w:br w:type="page"/>
      </w:r>
      <w:r>
        <w:rPr>
          <w:rFonts w:hint="eastAsia" w:ascii="宋体" w:hAnsi="宋体" w:eastAsia="宋体" w:cs="宋体"/>
          <w:color w:val="404040"/>
          <w:sz w:val="26"/>
          <w:szCs w:val="26"/>
          <w:highlight w:val="none"/>
          <w:lang w:val="en-US" w:eastAsia="zh-CN"/>
        </w:rPr>
        <w:t xml:space="preserve">  </w:t>
      </w:r>
    </w:p>
    <w:p w14:paraId="32F09E10">
      <w:pPr>
        <w:widowControl w:val="0"/>
        <w:adjustRightInd/>
        <w:snapToGrid/>
        <w:spacing w:after="0" w:line="590" w:lineRule="exact"/>
        <w:jc w:val="center"/>
        <w:rPr>
          <w:rFonts w:ascii="宋体" w:hAnsi="宋体" w:eastAsia="宋体" w:cs="宋体"/>
          <w:color w:val="404040"/>
          <w:sz w:val="26"/>
          <w:szCs w:val="26"/>
          <w:highlight w:val="none"/>
        </w:rPr>
      </w:pPr>
      <w:r>
        <w:rPr>
          <w:rFonts w:ascii="宋体" w:hAnsi="宋体" w:eastAsia="宋体" w:cs="宋体"/>
          <w:color w:val="404040"/>
          <w:sz w:val="26"/>
          <w:szCs w:val="26"/>
          <w:highlight w:val="none"/>
        </w:rPr>
        <w:t>报价内容一览</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21"/>
        <w:gridCol w:w="1438"/>
        <w:gridCol w:w="1082"/>
        <w:gridCol w:w="1436"/>
        <w:gridCol w:w="1500"/>
      </w:tblGrid>
      <w:tr w14:paraId="006B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21" w:type="dxa"/>
            <w:shd w:val="clear" w:color="FFFFFF" w:fill="auto"/>
            <w:vAlign w:val="center"/>
          </w:tcPr>
          <w:p w14:paraId="7E295828">
            <w:pPr>
              <w:widowControl w:val="0"/>
              <w:adjustRightInd/>
              <w:snapToGrid/>
              <w:spacing w:after="0" w:line="340" w:lineRule="exact"/>
              <w:jc w:val="center"/>
              <w:rPr>
                <w:rFonts w:ascii="宋体" w:hAnsi="宋体" w:eastAsia="宋体" w:cs="宋体"/>
                <w:color w:val="404040"/>
                <w:sz w:val="26"/>
                <w:szCs w:val="26"/>
                <w:highlight w:val="none"/>
              </w:rPr>
            </w:pPr>
            <w:r>
              <w:rPr>
                <w:rFonts w:ascii="宋体" w:hAnsi="宋体" w:eastAsia="宋体" w:cs="宋体"/>
                <w:color w:val="404040"/>
                <w:sz w:val="26"/>
                <w:szCs w:val="26"/>
                <w:highlight w:val="none"/>
              </w:rPr>
              <w:t>项目名称</w:t>
            </w:r>
          </w:p>
        </w:tc>
        <w:tc>
          <w:tcPr>
            <w:tcW w:w="1438" w:type="dxa"/>
            <w:shd w:val="clear" w:color="FFFFFF" w:fill="auto"/>
            <w:vAlign w:val="center"/>
          </w:tcPr>
          <w:p w14:paraId="12033518">
            <w:pPr>
              <w:widowControl w:val="0"/>
              <w:adjustRightInd/>
              <w:snapToGrid/>
              <w:spacing w:after="0" w:line="340" w:lineRule="exact"/>
              <w:jc w:val="center"/>
              <w:rPr>
                <w:rFonts w:ascii="宋体" w:hAnsi="宋体" w:eastAsia="宋体" w:cs="宋体"/>
                <w:color w:val="404040"/>
                <w:sz w:val="26"/>
                <w:szCs w:val="26"/>
                <w:highlight w:val="none"/>
              </w:rPr>
            </w:pPr>
            <w:r>
              <w:rPr>
                <w:rFonts w:ascii="宋体" w:hAnsi="宋体" w:eastAsia="宋体" w:cs="宋体"/>
                <w:color w:val="404040"/>
                <w:sz w:val="26"/>
                <w:szCs w:val="26"/>
                <w:highlight w:val="none"/>
              </w:rPr>
              <w:t>招标方式</w:t>
            </w:r>
          </w:p>
        </w:tc>
        <w:tc>
          <w:tcPr>
            <w:tcW w:w="1082" w:type="dxa"/>
            <w:shd w:val="clear" w:color="FFFFFF" w:fill="auto"/>
            <w:vAlign w:val="center"/>
          </w:tcPr>
          <w:p w14:paraId="5D36BE85">
            <w:pPr>
              <w:widowControl w:val="0"/>
              <w:adjustRightInd/>
              <w:snapToGrid/>
              <w:spacing w:after="0" w:line="340" w:lineRule="exact"/>
              <w:jc w:val="center"/>
              <w:rPr>
                <w:rFonts w:ascii="宋体" w:hAnsi="宋体" w:eastAsia="宋体" w:cs="宋体"/>
                <w:color w:val="404040"/>
                <w:sz w:val="26"/>
                <w:szCs w:val="26"/>
                <w:highlight w:val="none"/>
              </w:rPr>
            </w:pPr>
            <w:r>
              <w:rPr>
                <w:rFonts w:ascii="宋体" w:hAnsi="宋体" w:eastAsia="宋体" w:cs="宋体"/>
                <w:color w:val="404040"/>
                <w:sz w:val="26"/>
                <w:szCs w:val="26"/>
                <w:highlight w:val="none"/>
              </w:rPr>
              <w:t>控制价</w:t>
            </w:r>
          </w:p>
        </w:tc>
        <w:tc>
          <w:tcPr>
            <w:tcW w:w="1436" w:type="dxa"/>
            <w:shd w:val="clear" w:color="FFFFFF" w:fill="auto"/>
            <w:vAlign w:val="center"/>
          </w:tcPr>
          <w:p w14:paraId="5447DC8C">
            <w:pPr>
              <w:widowControl w:val="0"/>
              <w:adjustRightInd/>
              <w:snapToGrid/>
              <w:spacing w:after="0" w:line="340" w:lineRule="exact"/>
              <w:jc w:val="center"/>
              <w:rPr>
                <w:rFonts w:ascii="宋体" w:hAnsi="宋体" w:eastAsia="宋体" w:cs="宋体"/>
                <w:color w:val="404040"/>
                <w:sz w:val="26"/>
                <w:szCs w:val="26"/>
                <w:highlight w:val="none"/>
              </w:rPr>
            </w:pPr>
            <w:r>
              <w:rPr>
                <w:rFonts w:ascii="宋体" w:hAnsi="宋体" w:eastAsia="宋体" w:cs="宋体"/>
                <w:color w:val="404040"/>
                <w:sz w:val="26"/>
                <w:szCs w:val="26"/>
                <w:highlight w:val="none"/>
              </w:rPr>
              <w:t>数量</w:t>
            </w:r>
          </w:p>
        </w:tc>
        <w:tc>
          <w:tcPr>
            <w:tcW w:w="1500" w:type="dxa"/>
            <w:shd w:val="clear" w:color="FFFFFF" w:fill="auto"/>
            <w:vAlign w:val="center"/>
          </w:tcPr>
          <w:p w14:paraId="26B8D793">
            <w:pPr>
              <w:widowControl w:val="0"/>
              <w:adjustRightInd/>
              <w:snapToGrid/>
              <w:spacing w:after="0" w:line="340" w:lineRule="exact"/>
              <w:jc w:val="center"/>
              <w:rPr>
                <w:rFonts w:ascii="宋体" w:hAnsi="宋体" w:eastAsia="宋体" w:cs="宋体"/>
                <w:color w:val="404040"/>
                <w:sz w:val="26"/>
                <w:szCs w:val="26"/>
                <w:highlight w:val="none"/>
              </w:rPr>
            </w:pPr>
            <w:r>
              <w:rPr>
                <w:rFonts w:ascii="宋体" w:hAnsi="宋体" w:eastAsia="宋体" w:cs="宋体"/>
                <w:color w:val="404040"/>
                <w:sz w:val="26"/>
                <w:szCs w:val="26"/>
                <w:highlight w:val="none"/>
              </w:rPr>
              <w:t>要求</w:t>
            </w:r>
          </w:p>
        </w:tc>
      </w:tr>
      <w:tr w14:paraId="190C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jc w:val="center"/>
        </w:trPr>
        <w:tc>
          <w:tcPr>
            <w:tcW w:w="2821" w:type="dxa"/>
            <w:vAlign w:val="center"/>
          </w:tcPr>
          <w:p w14:paraId="58B13150">
            <w:pPr>
              <w:spacing w:line="340" w:lineRule="exact"/>
              <w:jc w:val="center"/>
              <w:rPr>
                <w:rFonts w:ascii="宋体" w:hAnsi="宋体" w:eastAsia="宋体" w:cs="宋体"/>
                <w:color w:val="404040"/>
                <w:sz w:val="32"/>
                <w:szCs w:val="32"/>
                <w:highlight w:val="none"/>
              </w:rPr>
            </w:pPr>
            <w:r>
              <w:rPr>
                <w:rFonts w:hint="eastAsia" w:ascii="宋体" w:hAnsi="宋体" w:eastAsia="宋体" w:cs="宋体"/>
                <w:color w:val="404040"/>
                <w:sz w:val="26"/>
                <w:szCs w:val="26"/>
                <w:highlight w:val="none"/>
                <w:lang w:val="en-US" w:eastAsia="zh-CN"/>
              </w:rPr>
              <w:t>病理科监控设备采购项目</w:t>
            </w:r>
          </w:p>
        </w:tc>
        <w:tc>
          <w:tcPr>
            <w:tcW w:w="1438" w:type="dxa"/>
            <w:vAlign w:val="center"/>
          </w:tcPr>
          <w:p w14:paraId="4F2595C9">
            <w:pPr>
              <w:spacing w:line="340" w:lineRule="exact"/>
              <w:jc w:val="center"/>
              <w:rPr>
                <w:rFonts w:ascii="宋体" w:hAnsi="宋体" w:eastAsia="宋体" w:cs="宋体"/>
                <w:i/>
                <w:iCs/>
                <w:color w:val="404040"/>
                <w:sz w:val="26"/>
                <w:szCs w:val="26"/>
                <w:highlight w:val="none"/>
              </w:rPr>
            </w:pPr>
            <w:r>
              <w:rPr>
                <w:rFonts w:hint="eastAsia" w:ascii="宋体" w:hAnsi="宋体" w:eastAsia="宋体" w:cs="宋体"/>
                <w:color w:val="404040"/>
                <w:sz w:val="26"/>
                <w:szCs w:val="26"/>
                <w:highlight w:val="none"/>
                <w:lang w:val="en-US" w:eastAsia="zh-CN"/>
              </w:rPr>
              <w:t>综合评分</w:t>
            </w:r>
          </w:p>
        </w:tc>
        <w:tc>
          <w:tcPr>
            <w:tcW w:w="1082" w:type="dxa"/>
            <w:vAlign w:val="center"/>
          </w:tcPr>
          <w:p w14:paraId="52600896">
            <w:pPr>
              <w:spacing w:line="340" w:lineRule="exact"/>
              <w:jc w:val="center"/>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lang w:val="en-US" w:eastAsia="zh-CN"/>
              </w:rPr>
              <w:t>23.6</w:t>
            </w:r>
            <w:r>
              <w:rPr>
                <w:rFonts w:ascii="宋体" w:hAnsi="宋体" w:eastAsia="宋体" w:cs="宋体"/>
                <w:color w:val="404040"/>
                <w:sz w:val="26"/>
                <w:szCs w:val="26"/>
                <w:highlight w:val="none"/>
              </w:rPr>
              <w:t>万</w:t>
            </w:r>
          </w:p>
        </w:tc>
        <w:tc>
          <w:tcPr>
            <w:tcW w:w="1436" w:type="dxa"/>
            <w:vAlign w:val="center"/>
          </w:tcPr>
          <w:p w14:paraId="0A0DE056">
            <w:pPr>
              <w:spacing w:line="340" w:lineRule="exact"/>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详见附件</w:t>
            </w:r>
          </w:p>
        </w:tc>
        <w:tc>
          <w:tcPr>
            <w:tcW w:w="1500" w:type="dxa"/>
            <w:vAlign w:val="center"/>
          </w:tcPr>
          <w:p w14:paraId="1FC8BEB0">
            <w:pPr>
              <w:spacing w:line="340" w:lineRule="exact"/>
              <w:jc w:val="center"/>
              <w:rPr>
                <w:rFonts w:ascii="宋体" w:hAnsi="宋体" w:eastAsia="宋体" w:cs="宋体"/>
                <w:color w:val="404040"/>
                <w:sz w:val="26"/>
                <w:szCs w:val="26"/>
                <w:highlight w:val="none"/>
              </w:rPr>
            </w:pPr>
            <w:r>
              <w:rPr>
                <w:rFonts w:ascii="宋体" w:hAnsi="宋体" w:eastAsia="宋体" w:cs="宋体"/>
                <w:color w:val="404040"/>
                <w:sz w:val="26"/>
                <w:szCs w:val="26"/>
                <w:highlight w:val="none"/>
              </w:rPr>
              <w:t>详见附件</w:t>
            </w:r>
          </w:p>
        </w:tc>
      </w:tr>
    </w:tbl>
    <w:p w14:paraId="4B98CCFA">
      <w:pPr>
        <w:pStyle w:val="17"/>
        <w:rPr>
          <w:rFonts w:ascii="宋体" w:hAnsi="宋体" w:eastAsia="宋体" w:cs="宋体"/>
          <w:color w:val="404040"/>
          <w:sz w:val="26"/>
          <w:szCs w:val="26"/>
          <w:highlight w:val="none"/>
        </w:rPr>
      </w:pPr>
      <w:r>
        <w:rPr>
          <w:rFonts w:ascii="宋体" w:hAnsi="宋体" w:eastAsia="宋体" w:cs="宋体"/>
          <w:color w:val="404040"/>
          <w:sz w:val="26"/>
          <w:szCs w:val="26"/>
          <w:highlight w:val="none"/>
        </w:rPr>
        <w:t>备注：</w:t>
      </w:r>
      <w:r>
        <w:rPr>
          <w:rFonts w:hint="eastAsia" w:ascii="宋体" w:hAnsi="宋体" w:eastAsia="宋体" w:cs="宋体"/>
          <w:color w:val="404040"/>
          <w:sz w:val="26"/>
          <w:szCs w:val="26"/>
          <w:highlight w:val="none"/>
        </w:rPr>
        <w:t>1、</w:t>
      </w:r>
      <w:r>
        <w:rPr>
          <w:rFonts w:ascii="宋体" w:hAnsi="宋体" w:eastAsia="宋体" w:cs="宋体"/>
          <w:color w:val="404040"/>
          <w:sz w:val="26"/>
          <w:szCs w:val="26"/>
          <w:highlight w:val="none"/>
        </w:rPr>
        <w:t>如双方对招标内容产生歧义，最终解释权归采购人。</w:t>
      </w:r>
    </w:p>
    <w:p w14:paraId="4CC35B69">
      <w:pPr>
        <w:adjustRightInd/>
        <w:snapToGrid/>
        <w:spacing w:before="150" w:after="0" w:line="480" w:lineRule="atLeast"/>
        <w:ind w:firstLine="480"/>
        <w:jc w:val="both"/>
        <w:rPr>
          <w:rFonts w:ascii="宋体" w:hAnsi="宋体" w:eastAsia="宋体" w:cs="宋体"/>
          <w:color w:val="404040"/>
          <w:sz w:val="26"/>
          <w:szCs w:val="26"/>
          <w:highlight w:val="none"/>
        </w:rPr>
      </w:pPr>
    </w:p>
    <w:p w14:paraId="37C6D25B">
      <w:pPr>
        <w:pStyle w:val="17"/>
        <w:rPr>
          <w:rFonts w:ascii="宋体" w:hAnsi="宋体" w:cs="仿宋_GB2312"/>
          <w:b/>
          <w:sz w:val="24"/>
          <w:szCs w:val="24"/>
          <w:highlight w:val="none"/>
        </w:rPr>
      </w:pPr>
    </w:p>
    <w:p w14:paraId="67BEA9FF">
      <w:pPr>
        <w:pStyle w:val="17"/>
        <w:rPr>
          <w:rFonts w:ascii="宋体" w:hAnsi="宋体" w:cs="仿宋_GB2312"/>
          <w:b/>
          <w:sz w:val="24"/>
          <w:szCs w:val="24"/>
          <w:highlight w:val="none"/>
        </w:rPr>
      </w:pPr>
    </w:p>
    <w:p w14:paraId="7517909B">
      <w:pPr>
        <w:pStyle w:val="17"/>
        <w:rPr>
          <w:rFonts w:ascii="宋体" w:hAnsi="宋体" w:cs="仿宋_GB2312"/>
          <w:b/>
          <w:sz w:val="24"/>
          <w:szCs w:val="24"/>
          <w:highlight w:val="none"/>
        </w:rPr>
      </w:pPr>
    </w:p>
    <w:p w14:paraId="734CCE7C">
      <w:pPr>
        <w:pStyle w:val="17"/>
        <w:rPr>
          <w:rFonts w:ascii="宋体" w:hAnsi="宋体" w:cs="仿宋_GB2312"/>
          <w:b/>
          <w:sz w:val="24"/>
          <w:szCs w:val="24"/>
          <w:highlight w:val="none"/>
        </w:rPr>
      </w:pPr>
    </w:p>
    <w:p w14:paraId="4F136A50">
      <w:pPr>
        <w:pStyle w:val="17"/>
        <w:rPr>
          <w:rFonts w:ascii="宋体" w:hAnsi="宋体" w:cs="仿宋_GB2312"/>
          <w:b/>
          <w:sz w:val="24"/>
          <w:szCs w:val="24"/>
          <w:highlight w:val="none"/>
        </w:rPr>
      </w:pPr>
    </w:p>
    <w:p w14:paraId="19922F40">
      <w:pPr>
        <w:pStyle w:val="17"/>
        <w:rPr>
          <w:rFonts w:ascii="宋体" w:hAnsi="宋体" w:cs="仿宋_GB2312"/>
          <w:b/>
          <w:sz w:val="24"/>
          <w:szCs w:val="24"/>
          <w:highlight w:val="none"/>
        </w:rPr>
      </w:pPr>
    </w:p>
    <w:p w14:paraId="40FCE7FD">
      <w:pPr>
        <w:pStyle w:val="17"/>
        <w:rPr>
          <w:rFonts w:ascii="宋体" w:hAnsi="宋体" w:cs="仿宋_GB2312"/>
          <w:b/>
          <w:sz w:val="24"/>
          <w:szCs w:val="24"/>
          <w:highlight w:val="none"/>
        </w:rPr>
      </w:pPr>
    </w:p>
    <w:p w14:paraId="4E098F42">
      <w:pPr>
        <w:pStyle w:val="17"/>
        <w:rPr>
          <w:rFonts w:ascii="宋体" w:hAnsi="宋体" w:cs="仿宋_GB2312"/>
          <w:b/>
          <w:sz w:val="24"/>
          <w:szCs w:val="24"/>
          <w:highlight w:val="none"/>
        </w:rPr>
      </w:pPr>
    </w:p>
    <w:p w14:paraId="5EAAE08A">
      <w:pPr>
        <w:pStyle w:val="17"/>
        <w:rPr>
          <w:rFonts w:ascii="宋体" w:hAnsi="宋体" w:cs="仿宋_GB2312"/>
          <w:b/>
          <w:sz w:val="24"/>
          <w:szCs w:val="24"/>
          <w:highlight w:val="none"/>
        </w:rPr>
      </w:pPr>
    </w:p>
    <w:p w14:paraId="2F845F0A">
      <w:pPr>
        <w:pStyle w:val="17"/>
        <w:rPr>
          <w:rFonts w:ascii="宋体" w:hAnsi="宋体" w:cs="仿宋_GB2312"/>
          <w:b/>
          <w:sz w:val="24"/>
          <w:szCs w:val="24"/>
          <w:highlight w:val="none"/>
        </w:rPr>
      </w:pPr>
    </w:p>
    <w:p w14:paraId="07413C2C">
      <w:pPr>
        <w:pStyle w:val="17"/>
        <w:rPr>
          <w:rFonts w:ascii="宋体" w:hAnsi="宋体" w:cs="仿宋_GB2312"/>
          <w:b/>
          <w:sz w:val="24"/>
          <w:szCs w:val="24"/>
          <w:highlight w:val="none"/>
        </w:rPr>
      </w:pPr>
    </w:p>
    <w:p w14:paraId="71EA87C3">
      <w:pPr>
        <w:pStyle w:val="17"/>
        <w:rPr>
          <w:rFonts w:ascii="宋体" w:hAnsi="宋体" w:cs="仿宋_GB2312"/>
          <w:b/>
          <w:sz w:val="24"/>
          <w:szCs w:val="24"/>
          <w:highlight w:val="none"/>
        </w:rPr>
      </w:pPr>
    </w:p>
    <w:p w14:paraId="440EC3B4">
      <w:pPr>
        <w:pStyle w:val="17"/>
        <w:rPr>
          <w:rFonts w:ascii="宋体" w:hAnsi="宋体" w:cs="仿宋_GB2312"/>
          <w:b/>
          <w:sz w:val="24"/>
          <w:szCs w:val="24"/>
          <w:highlight w:val="none"/>
        </w:rPr>
      </w:pPr>
    </w:p>
    <w:p w14:paraId="1B7BA43B">
      <w:pPr>
        <w:pStyle w:val="47"/>
        <w:rPr>
          <w:rFonts w:hint="default" w:ascii="宋体" w:hAnsi="宋体" w:cs="宋体"/>
          <w:b/>
          <w:sz w:val="36"/>
          <w:szCs w:val="36"/>
          <w:highlight w:val="none"/>
        </w:rPr>
      </w:pPr>
      <w:r>
        <w:rPr>
          <w:rFonts w:ascii="宋体" w:hAnsi="宋体" w:cs="宋体"/>
          <w:b/>
          <w:sz w:val="36"/>
          <w:szCs w:val="36"/>
          <w:highlight w:val="none"/>
        </w:rPr>
        <w:t>附件：</w:t>
      </w:r>
    </w:p>
    <w:p w14:paraId="37326BFC">
      <w:pPr>
        <w:pStyle w:val="47"/>
        <w:widowControl w:val="0"/>
        <w:jc w:val="both"/>
        <w:rPr>
          <w:rFonts w:hint="default"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一、项目概况（采购标的）：</w:t>
      </w:r>
    </w:p>
    <w:p w14:paraId="7E19AF5B">
      <w:pPr>
        <w:pStyle w:val="47"/>
        <w:widowControl w:val="0"/>
        <w:ind w:firstLine="480" w:firstLineChars="200"/>
        <w:jc w:val="both"/>
        <w:rPr>
          <w:rFonts w:hint="eastAsia"/>
          <w:sz w:val="24"/>
          <w:highlight w:val="none"/>
          <w:lang w:val="en-US" w:eastAsia="zh-CN"/>
        </w:rPr>
      </w:pPr>
      <w:r>
        <w:rPr>
          <w:rFonts w:hint="eastAsia"/>
          <w:sz w:val="24"/>
          <w:highlight w:val="none"/>
          <w:lang w:val="en-US" w:eastAsia="zh-CN"/>
        </w:rPr>
        <w:t>1、本次采购项目为病理科监控设备采购项目货物采购。投标人提供的所有货物必须通过合法渠道获得，具有在中国境内的合法使用权和用户保护权且为全新原装货物。技术参数必须符合或优于国家及行业相关标准。国家有强制性规定的产品（如CCC）还必须符合国家强制性认证规定。</w:t>
      </w:r>
    </w:p>
    <w:p w14:paraId="0323F5DD">
      <w:pPr>
        <w:pStyle w:val="47"/>
        <w:widowControl w:val="0"/>
        <w:ind w:firstLine="480" w:firstLineChars="200"/>
        <w:jc w:val="both"/>
        <w:rPr>
          <w:rFonts w:hint="eastAsia"/>
          <w:sz w:val="24"/>
          <w:highlight w:val="none"/>
          <w:lang w:val="en-US" w:eastAsia="zh-CN"/>
        </w:rPr>
      </w:pPr>
      <w:r>
        <w:rPr>
          <w:rFonts w:hint="eastAsia"/>
          <w:sz w:val="24"/>
          <w:highlight w:val="none"/>
          <w:lang w:val="en-US" w:eastAsia="zh-CN"/>
        </w:rPr>
        <w:t>2、采购货物标示“◆”的为本项目核心产品，本项目序号“一、1.1、◆400W室内半球”为核心产品。提供同品牌序号“一、1.1、◆400W室内半球”产品的不同供应商参加本项目报价的，按一家供应商计算：以其中通过资格审查、符合性审查且得分最高的供应商作为有效供应商参加评审；经评审后分数相同的，以报价最低的供应商作为有效供应商参加评审；评审分和报价均相同的，采取随机抽取方式确定有效供应商，其他以同品牌同型号投报的供应商报价无效。</w:t>
      </w:r>
    </w:p>
    <w:p w14:paraId="2DAB84F6">
      <w:pPr>
        <w:pStyle w:val="47"/>
        <w:widowControl w:val="0"/>
        <w:jc w:val="both"/>
        <w:rPr>
          <w:rFonts w:hint="eastAsia"/>
          <w:sz w:val="24"/>
          <w:highlight w:val="none"/>
          <w:lang w:val="en-US" w:eastAsia="zh-CN"/>
        </w:rPr>
      </w:pPr>
      <w:r>
        <w:rPr>
          <w:rFonts w:hint="eastAsia"/>
          <w:sz w:val="24"/>
          <w:highlight w:val="none"/>
          <w:lang w:val="en-US" w:eastAsia="zh-CN"/>
        </w:rPr>
        <w:t>3、项目采购清单</w:t>
      </w:r>
    </w:p>
    <w:tbl>
      <w:tblPr>
        <w:tblStyle w:val="22"/>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126"/>
        <w:gridCol w:w="2552"/>
        <w:gridCol w:w="709"/>
        <w:gridCol w:w="708"/>
        <w:gridCol w:w="851"/>
      </w:tblGrid>
      <w:tr w14:paraId="4A7B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01248CE2">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kern w:val="0"/>
                <w:sz w:val="20"/>
                <w:szCs w:val="20"/>
                <w:highlight w:val="none"/>
              </w:rPr>
              <w:t>序号</w:t>
            </w:r>
          </w:p>
        </w:tc>
        <w:tc>
          <w:tcPr>
            <w:tcW w:w="2126" w:type="dxa"/>
            <w:vAlign w:val="center"/>
          </w:tcPr>
          <w:p w14:paraId="723D622F">
            <w:pPr>
              <w:widowControl/>
              <w:spacing w:line="240" w:lineRule="auto"/>
              <w:ind w:firstLine="0" w:firstLineChars="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项目名称</w:t>
            </w:r>
          </w:p>
        </w:tc>
        <w:tc>
          <w:tcPr>
            <w:tcW w:w="2552" w:type="dxa"/>
            <w:vAlign w:val="center"/>
          </w:tcPr>
          <w:p w14:paraId="37ECAC19">
            <w:pPr>
              <w:widowControl/>
              <w:spacing w:line="240" w:lineRule="auto"/>
              <w:ind w:firstLine="0" w:firstLineChars="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参数规格</w:t>
            </w:r>
          </w:p>
        </w:tc>
        <w:tc>
          <w:tcPr>
            <w:tcW w:w="709" w:type="dxa"/>
            <w:vAlign w:val="center"/>
          </w:tcPr>
          <w:p w14:paraId="0D93063D">
            <w:pPr>
              <w:widowControl/>
              <w:spacing w:line="240" w:lineRule="auto"/>
              <w:ind w:firstLine="0" w:firstLineChars="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数量</w:t>
            </w:r>
          </w:p>
        </w:tc>
        <w:tc>
          <w:tcPr>
            <w:tcW w:w="708" w:type="dxa"/>
            <w:vAlign w:val="center"/>
          </w:tcPr>
          <w:p w14:paraId="5C630CC1">
            <w:pPr>
              <w:widowControl/>
              <w:spacing w:line="240" w:lineRule="auto"/>
              <w:ind w:firstLine="0" w:firstLineChars="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单位</w:t>
            </w:r>
          </w:p>
        </w:tc>
        <w:tc>
          <w:tcPr>
            <w:tcW w:w="851" w:type="dxa"/>
            <w:vAlign w:val="center"/>
          </w:tcPr>
          <w:p w14:paraId="5EED2399">
            <w:pPr>
              <w:widowControl/>
              <w:spacing w:line="240" w:lineRule="auto"/>
              <w:ind w:firstLine="0" w:firstLineChars="0"/>
              <w:jc w:val="center"/>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备注</w:t>
            </w:r>
          </w:p>
        </w:tc>
      </w:tr>
      <w:tr w14:paraId="10A8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9" w:type="dxa"/>
            <w:shd w:val="clear" w:color="000000" w:fill="D9D9D9"/>
            <w:vAlign w:val="center"/>
          </w:tcPr>
          <w:p w14:paraId="280069D4">
            <w:pPr>
              <w:widowControl/>
              <w:spacing w:line="240" w:lineRule="auto"/>
              <w:ind w:firstLine="0" w:firstLineChars="0"/>
              <w:jc w:val="center"/>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一</w:t>
            </w:r>
          </w:p>
        </w:tc>
        <w:tc>
          <w:tcPr>
            <w:tcW w:w="6095" w:type="dxa"/>
            <w:gridSpan w:val="4"/>
            <w:shd w:val="clear" w:color="000000" w:fill="D9D9D9"/>
            <w:vAlign w:val="center"/>
          </w:tcPr>
          <w:p w14:paraId="24756AD8">
            <w:pPr>
              <w:widowControl/>
              <w:spacing w:line="240" w:lineRule="auto"/>
              <w:ind w:firstLine="0" w:firstLineChars="0"/>
              <w:jc w:val="left"/>
              <w:rPr>
                <w:rFonts w:hint="eastAsia" w:ascii="宋体" w:hAnsi="宋体" w:eastAsia="宋体" w:cs="宋体"/>
                <w:b/>
                <w:bCs/>
                <w:kern w:val="0"/>
                <w:sz w:val="20"/>
                <w:szCs w:val="20"/>
                <w:highlight w:val="none"/>
              </w:rPr>
            </w:pPr>
            <w:r>
              <w:rPr>
                <w:rFonts w:hint="eastAsia" w:ascii="宋体" w:hAnsi="宋体" w:eastAsia="宋体" w:cs="宋体"/>
                <w:b/>
                <w:bCs/>
                <w:kern w:val="0"/>
                <w:sz w:val="20"/>
                <w:szCs w:val="20"/>
                <w:highlight w:val="none"/>
              </w:rPr>
              <w:t>外科楼（三/四层监控增补）</w:t>
            </w:r>
          </w:p>
        </w:tc>
        <w:tc>
          <w:tcPr>
            <w:tcW w:w="851" w:type="dxa"/>
            <w:shd w:val="clear" w:color="000000" w:fill="D9D9D9"/>
          </w:tcPr>
          <w:p w14:paraId="479094C5">
            <w:pPr>
              <w:widowControl/>
              <w:spacing w:line="240" w:lineRule="auto"/>
              <w:ind w:firstLine="0" w:firstLineChars="0"/>
              <w:jc w:val="left"/>
              <w:rPr>
                <w:rFonts w:hint="eastAsia" w:ascii="宋体" w:hAnsi="宋体" w:eastAsia="宋体" w:cs="宋体"/>
                <w:b/>
                <w:bCs/>
                <w:kern w:val="0"/>
                <w:sz w:val="20"/>
                <w:szCs w:val="20"/>
                <w:highlight w:val="none"/>
              </w:rPr>
            </w:pPr>
          </w:p>
        </w:tc>
      </w:tr>
      <w:tr w14:paraId="34E6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1C52A18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1</w:t>
            </w:r>
          </w:p>
        </w:tc>
        <w:tc>
          <w:tcPr>
            <w:tcW w:w="2126" w:type="dxa"/>
            <w:vAlign w:val="center"/>
          </w:tcPr>
          <w:p w14:paraId="290CB654">
            <w:pPr>
              <w:widowControl/>
              <w:spacing w:line="240" w:lineRule="auto"/>
              <w:ind w:firstLine="0" w:firstLineChars="0"/>
              <w:jc w:val="left"/>
              <w:rPr>
                <w:rFonts w:hint="eastAsia" w:ascii="宋体" w:hAnsi="宋体" w:eastAsia="宋体" w:cs="宋体"/>
                <w:color w:val="000000"/>
                <w:kern w:val="0"/>
                <w:sz w:val="20"/>
                <w:szCs w:val="20"/>
                <w:highlight w:val="none"/>
              </w:rPr>
            </w:pPr>
            <w:r>
              <w:rPr>
                <w:rStyle w:val="25"/>
                <w:rFonts w:cs="宋体"/>
                <w:b w:val="0"/>
                <w:highlight w:val="none"/>
                <w:shd w:val="clear" w:color="auto" w:fill="FFFFFF"/>
              </w:rPr>
              <w:t>◆</w:t>
            </w:r>
            <w:r>
              <w:rPr>
                <w:rFonts w:hint="eastAsia" w:ascii="宋体" w:hAnsi="宋体" w:eastAsia="宋体" w:cs="宋体"/>
                <w:color w:val="000000"/>
                <w:kern w:val="0"/>
                <w:sz w:val="20"/>
                <w:szCs w:val="20"/>
                <w:highlight w:val="none"/>
              </w:rPr>
              <w:t>400W室内半球(核心产品)</w:t>
            </w:r>
          </w:p>
        </w:tc>
        <w:tc>
          <w:tcPr>
            <w:tcW w:w="2552" w:type="dxa"/>
          </w:tcPr>
          <w:p w14:paraId="67BB8403">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1FC45C9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w:t>
            </w:r>
          </w:p>
        </w:tc>
        <w:tc>
          <w:tcPr>
            <w:tcW w:w="708" w:type="dxa"/>
            <w:vAlign w:val="center"/>
          </w:tcPr>
          <w:p w14:paraId="4B206C69">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tcPr>
          <w:p w14:paraId="35EBDF66">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00DB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50E549D1">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2</w:t>
            </w:r>
          </w:p>
        </w:tc>
        <w:tc>
          <w:tcPr>
            <w:tcW w:w="2126" w:type="dxa"/>
            <w:vAlign w:val="center"/>
          </w:tcPr>
          <w:p w14:paraId="074DB890">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拾音器</w:t>
            </w:r>
          </w:p>
        </w:tc>
        <w:tc>
          <w:tcPr>
            <w:tcW w:w="2552" w:type="dxa"/>
          </w:tcPr>
          <w:p w14:paraId="4BAE136D">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702C0F6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vAlign w:val="center"/>
          </w:tcPr>
          <w:p w14:paraId="6557648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851" w:type="dxa"/>
          </w:tcPr>
          <w:p w14:paraId="64B7F916">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7B16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313A697D">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3</w:t>
            </w:r>
          </w:p>
        </w:tc>
        <w:tc>
          <w:tcPr>
            <w:tcW w:w="2126" w:type="dxa"/>
            <w:vAlign w:val="center"/>
          </w:tcPr>
          <w:p w14:paraId="28EDB62B">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监控存储节点</w:t>
            </w:r>
          </w:p>
        </w:tc>
        <w:tc>
          <w:tcPr>
            <w:tcW w:w="2552" w:type="dxa"/>
          </w:tcPr>
          <w:p w14:paraId="427251F8">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36BF7E15">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vAlign w:val="center"/>
          </w:tcPr>
          <w:p w14:paraId="6B54CBD6">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tcPr>
          <w:p w14:paraId="2F1CB346">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73AC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28AABA1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4</w:t>
            </w:r>
          </w:p>
        </w:tc>
        <w:tc>
          <w:tcPr>
            <w:tcW w:w="2126" w:type="dxa"/>
            <w:vAlign w:val="center"/>
          </w:tcPr>
          <w:p w14:paraId="38B12C17">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监控硬盘</w:t>
            </w:r>
          </w:p>
        </w:tc>
        <w:tc>
          <w:tcPr>
            <w:tcW w:w="2552" w:type="dxa"/>
          </w:tcPr>
          <w:p w14:paraId="7FF5493D">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0007B608">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708" w:type="dxa"/>
            <w:vAlign w:val="center"/>
          </w:tcPr>
          <w:p w14:paraId="42DEF09A">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块</w:t>
            </w:r>
          </w:p>
        </w:tc>
        <w:tc>
          <w:tcPr>
            <w:tcW w:w="851" w:type="dxa"/>
          </w:tcPr>
          <w:p w14:paraId="7DC1176A">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5DAC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709E5F56">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5</w:t>
            </w:r>
          </w:p>
        </w:tc>
        <w:tc>
          <w:tcPr>
            <w:tcW w:w="2126" w:type="dxa"/>
            <w:vAlign w:val="center"/>
          </w:tcPr>
          <w:p w14:paraId="06BC4B19">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视频通道数扩容授权</w:t>
            </w:r>
          </w:p>
        </w:tc>
        <w:tc>
          <w:tcPr>
            <w:tcW w:w="2552" w:type="dxa"/>
          </w:tcPr>
          <w:p w14:paraId="0099C472">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2611EC08">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c>
          <w:tcPr>
            <w:tcW w:w="708" w:type="dxa"/>
            <w:vAlign w:val="center"/>
          </w:tcPr>
          <w:p w14:paraId="1898C59A">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路</w:t>
            </w:r>
          </w:p>
        </w:tc>
        <w:tc>
          <w:tcPr>
            <w:tcW w:w="851" w:type="dxa"/>
          </w:tcPr>
          <w:p w14:paraId="37E169FE">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6BAC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31153D3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6</w:t>
            </w:r>
          </w:p>
        </w:tc>
        <w:tc>
          <w:tcPr>
            <w:tcW w:w="2126" w:type="dxa"/>
            <w:vAlign w:val="center"/>
          </w:tcPr>
          <w:p w14:paraId="16D96FD9">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24口POE接入交换机</w:t>
            </w:r>
          </w:p>
        </w:tc>
        <w:tc>
          <w:tcPr>
            <w:tcW w:w="2552" w:type="dxa"/>
          </w:tcPr>
          <w:p w14:paraId="2EA492A7">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7A9ADAB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708" w:type="dxa"/>
            <w:vAlign w:val="center"/>
          </w:tcPr>
          <w:p w14:paraId="21C4CA3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tcPr>
          <w:p w14:paraId="158D6018">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7756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605DB26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7</w:t>
            </w:r>
          </w:p>
        </w:tc>
        <w:tc>
          <w:tcPr>
            <w:tcW w:w="2126" w:type="dxa"/>
            <w:vAlign w:val="center"/>
          </w:tcPr>
          <w:p w14:paraId="0590E598">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6U机柜</w:t>
            </w:r>
          </w:p>
        </w:tc>
        <w:tc>
          <w:tcPr>
            <w:tcW w:w="2552" w:type="dxa"/>
          </w:tcPr>
          <w:p w14:paraId="22C4AE18">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6E57993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vAlign w:val="center"/>
          </w:tcPr>
          <w:p w14:paraId="319D022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851" w:type="dxa"/>
          </w:tcPr>
          <w:p w14:paraId="6F67ACA3">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681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4DE6C1D9">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8</w:t>
            </w:r>
          </w:p>
        </w:tc>
        <w:tc>
          <w:tcPr>
            <w:tcW w:w="2126" w:type="dxa"/>
            <w:vAlign w:val="center"/>
          </w:tcPr>
          <w:p w14:paraId="28A785CA">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监控主干电源线</w:t>
            </w:r>
          </w:p>
        </w:tc>
        <w:tc>
          <w:tcPr>
            <w:tcW w:w="2552" w:type="dxa"/>
            <w:shd w:val="clear" w:color="000000" w:fill="FFFFFF"/>
          </w:tcPr>
          <w:p w14:paraId="3DC455B3">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30187A29">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vAlign w:val="center"/>
          </w:tcPr>
          <w:p w14:paraId="36135155">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捆</w:t>
            </w:r>
          </w:p>
        </w:tc>
        <w:tc>
          <w:tcPr>
            <w:tcW w:w="851" w:type="dxa"/>
          </w:tcPr>
          <w:p w14:paraId="1E240CF0">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3C6B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561B972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9</w:t>
            </w:r>
          </w:p>
        </w:tc>
        <w:tc>
          <w:tcPr>
            <w:tcW w:w="2126" w:type="dxa"/>
            <w:vAlign w:val="center"/>
          </w:tcPr>
          <w:p w14:paraId="7B81DA60">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六类非屏蔽双绞线</w:t>
            </w:r>
          </w:p>
        </w:tc>
        <w:tc>
          <w:tcPr>
            <w:tcW w:w="2552" w:type="dxa"/>
            <w:shd w:val="clear" w:color="000000" w:fill="FFFFFF"/>
          </w:tcPr>
          <w:p w14:paraId="3FA38BB6">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0033A24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708" w:type="dxa"/>
            <w:vAlign w:val="center"/>
          </w:tcPr>
          <w:p w14:paraId="57E468FC">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箱</w:t>
            </w:r>
          </w:p>
        </w:tc>
        <w:tc>
          <w:tcPr>
            <w:tcW w:w="851" w:type="dxa"/>
          </w:tcPr>
          <w:p w14:paraId="709C6F6D">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01E8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5BCAF4B6">
            <w:pPr>
              <w:widowControl/>
              <w:spacing w:line="240" w:lineRule="auto"/>
              <w:ind w:firstLine="0" w:firstLineChars="0"/>
              <w:jc w:val="center"/>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rPr>
              <w:t>1</w:t>
            </w:r>
            <w:r>
              <w:rPr>
                <w:rFonts w:hint="eastAsia" w:ascii="宋体" w:hAnsi="宋体" w:eastAsia="宋体" w:cs="宋体"/>
                <w:color w:val="000000"/>
                <w:kern w:val="0"/>
                <w:sz w:val="20"/>
                <w:szCs w:val="20"/>
                <w:highlight w:val="none"/>
                <w:lang w:val="en-US" w:eastAsia="zh-CN"/>
              </w:rPr>
              <w:t>0</w:t>
            </w:r>
          </w:p>
        </w:tc>
        <w:tc>
          <w:tcPr>
            <w:tcW w:w="2126" w:type="dxa"/>
            <w:vAlign w:val="center"/>
          </w:tcPr>
          <w:p w14:paraId="141ACBE7">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PVC20管</w:t>
            </w:r>
          </w:p>
        </w:tc>
        <w:tc>
          <w:tcPr>
            <w:tcW w:w="2552" w:type="dxa"/>
            <w:shd w:val="clear" w:color="000000" w:fill="FFFFFF"/>
            <w:vAlign w:val="center"/>
          </w:tcPr>
          <w:p w14:paraId="630D11F7">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077721A7">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830</w:t>
            </w:r>
          </w:p>
        </w:tc>
        <w:tc>
          <w:tcPr>
            <w:tcW w:w="708" w:type="dxa"/>
            <w:vAlign w:val="center"/>
          </w:tcPr>
          <w:p w14:paraId="0052ACE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米</w:t>
            </w:r>
          </w:p>
        </w:tc>
        <w:tc>
          <w:tcPr>
            <w:tcW w:w="851" w:type="dxa"/>
          </w:tcPr>
          <w:p w14:paraId="7EBF09D4">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726C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shd w:val="clear" w:color="000000" w:fill="D9D9D9"/>
            <w:vAlign w:val="center"/>
          </w:tcPr>
          <w:p w14:paraId="10C05C87">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二</w:t>
            </w:r>
          </w:p>
        </w:tc>
        <w:tc>
          <w:tcPr>
            <w:tcW w:w="6095" w:type="dxa"/>
            <w:gridSpan w:val="4"/>
            <w:shd w:val="clear" w:color="000000" w:fill="D9D9D9"/>
            <w:vAlign w:val="center"/>
          </w:tcPr>
          <w:p w14:paraId="3EAA6216">
            <w:pPr>
              <w:widowControl/>
              <w:spacing w:line="240" w:lineRule="auto"/>
              <w:ind w:firstLine="0" w:firstLineChars="0"/>
              <w:jc w:val="left"/>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内科楼地下一层</w:t>
            </w:r>
          </w:p>
        </w:tc>
        <w:tc>
          <w:tcPr>
            <w:tcW w:w="851" w:type="dxa"/>
            <w:shd w:val="clear" w:color="000000" w:fill="D9D9D9"/>
          </w:tcPr>
          <w:p w14:paraId="2981C4EE">
            <w:pPr>
              <w:widowControl/>
              <w:spacing w:line="240" w:lineRule="auto"/>
              <w:ind w:firstLine="0" w:firstLineChars="0"/>
              <w:jc w:val="left"/>
              <w:rPr>
                <w:rFonts w:hint="eastAsia" w:ascii="宋体" w:hAnsi="宋体" w:eastAsia="宋体" w:cs="宋体"/>
                <w:b/>
                <w:bCs/>
                <w:color w:val="000000"/>
                <w:kern w:val="0"/>
                <w:sz w:val="20"/>
                <w:szCs w:val="20"/>
                <w:highlight w:val="none"/>
              </w:rPr>
            </w:pPr>
          </w:p>
        </w:tc>
      </w:tr>
      <w:tr w14:paraId="08BD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7C68B09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1</w:t>
            </w:r>
          </w:p>
        </w:tc>
        <w:tc>
          <w:tcPr>
            <w:tcW w:w="2126" w:type="dxa"/>
            <w:vAlign w:val="center"/>
          </w:tcPr>
          <w:p w14:paraId="574CB38E">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400W室内枪机</w:t>
            </w:r>
          </w:p>
        </w:tc>
        <w:tc>
          <w:tcPr>
            <w:tcW w:w="2552" w:type="dxa"/>
            <w:shd w:val="clear" w:color="000000" w:fill="FFFFFF"/>
          </w:tcPr>
          <w:p w14:paraId="349128BA">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3FD42EC1">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708" w:type="dxa"/>
            <w:vAlign w:val="center"/>
          </w:tcPr>
          <w:p w14:paraId="4A126B05">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tcPr>
          <w:p w14:paraId="3FA06E8A">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336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07CC8B8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2</w:t>
            </w:r>
          </w:p>
        </w:tc>
        <w:tc>
          <w:tcPr>
            <w:tcW w:w="2126" w:type="dxa"/>
            <w:vAlign w:val="center"/>
          </w:tcPr>
          <w:p w14:paraId="4D10D50A">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监控存储节点</w:t>
            </w:r>
          </w:p>
        </w:tc>
        <w:tc>
          <w:tcPr>
            <w:tcW w:w="2552" w:type="dxa"/>
            <w:shd w:val="clear" w:color="000000" w:fill="FFFFFF"/>
          </w:tcPr>
          <w:p w14:paraId="19C9C02B">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6BDDFBCC">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vAlign w:val="center"/>
          </w:tcPr>
          <w:p w14:paraId="3E11BA9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tcPr>
          <w:p w14:paraId="492F3773">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065C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725AEA0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3</w:t>
            </w:r>
          </w:p>
        </w:tc>
        <w:tc>
          <w:tcPr>
            <w:tcW w:w="2126" w:type="dxa"/>
            <w:vAlign w:val="center"/>
          </w:tcPr>
          <w:p w14:paraId="24CFFDDC">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监控硬盘</w:t>
            </w:r>
          </w:p>
        </w:tc>
        <w:tc>
          <w:tcPr>
            <w:tcW w:w="2552" w:type="dxa"/>
            <w:shd w:val="clear" w:color="000000" w:fill="FFFFFF"/>
          </w:tcPr>
          <w:p w14:paraId="5A4A9E23">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7BA18DE9">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708" w:type="dxa"/>
            <w:vAlign w:val="center"/>
          </w:tcPr>
          <w:p w14:paraId="7FCE24B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块</w:t>
            </w:r>
          </w:p>
        </w:tc>
        <w:tc>
          <w:tcPr>
            <w:tcW w:w="851" w:type="dxa"/>
          </w:tcPr>
          <w:p w14:paraId="22648C07">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71FC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68C8B461">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4</w:t>
            </w:r>
          </w:p>
        </w:tc>
        <w:tc>
          <w:tcPr>
            <w:tcW w:w="2126" w:type="dxa"/>
            <w:vAlign w:val="center"/>
          </w:tcPr>
          <w:p w14:paraId="76BCCB58">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24口POE接入交换机</w:t>
            </w:r>
          </w:p>
        </w:tc>
        <w:tc>
          <w:tcPr>
            <w:tcW w:w="2552" w:type="dxa"/>
            <w:shd w:val="clear" w:color="000000" w:fill="FFFFFF"/>
          </w:tcPr>
          <w:p w14:paraId="43D1F491">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68A0336B">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vAlign w:val="center"/>
          </w:tcPr>
          <w:p w14:paraId="64E17A6B">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tcPr>
          <w:p w14:paraId="39223FF3">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024D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15BF71A6">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5</w:t>
            </w:r>
          </w:p>
        </w:tc>
        <w:tc>
          <w:tcPr>
            <w:tcW w:w="2126" w:type="dxa"/>
            <w:tcBorders>
              <w:bottom w:val="single" w:color="auto" w:sz="4" w:space="0"/>
            </w:tcBorders>
            <w:vAlign w:val="center"/>
          </w:tcPr>
          <w:p w14:paraId="6C77A294">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设备机柜（12U）</w:t>
            </w:r>
          </w:p>
        </w:tc>
        <w:tc>
          <w:tcPr>
            <w:tcW w:w="2552" w:type="dxa"/>
            <w:tcBorders>
              <w:bottom w:val="single" w:color="auto" w:sz="4" w:space="0"/>
            </w:tcBorders>
            <w:shd w:val="clear" w:color="000000" w:fill="FFFFFF"/>
          </w:tcPr>
          <w:p w14:paraId="44A4E739">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tcBorders>
              <w:bottom w:val="single" w:color="auto" w:sz="4" w:space="0"/>
            </w:tcBorders>
            <w:vAlign w:val="center"/>
          </w:tcPr>
          <w:p w14:paraId="05475F6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tcBorders>
              <w:bottom w:val="single" w:color="auto" w:sz="4" w:space="0"/>
            </w:tcBorders>
            <w:vAlign w:val="center"/>
          </w:tcPr>
          <w:p w14:paraId="1E24E41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tcBorders>
              <w:bottom w:val="single" w:color="auto" w:sz="4" w:space="0"/>
            </w:tcBorders>
          </w:tcPr>
          <w:p w14:paraId="08500E9F">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3294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30A2D1C8">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6</w:t>
            </w:r>
          </w:p>
        </w:tc>
        <w:tc>
          <w:tcPr>
            <w:tcW w:w="2126" w:type="dxa"/>
            <w:shd w:val="clear" w:color="000000" w:fill="FFFFFF" w:themeFill="background1"/>
            <w:vAlign w:val="center"/>
          </w:tcPr>
          <w:p w14:paraId="7156C4BD">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智慧融合控制平台</w:t>
            </w:r>
          </w:p>
        </w:tc>
        <w:tc>
          <w:tcPr>
            <w:tcW w:w="2552" w:type="dxa"/>
            <w:shd w:val="clear" w:color="000000" w:fill="FFFFFF" w:themeFill="background1"/>
          </w:tcPr>
          <w:p w14:paraId="28C673C2">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shd w:val="clear" w:color="000000" w:fill="FFFFFF" w:themeFill="background1"/>
            <w:vAlign w:val="center"/>
          </w:tcPr>
          <w:p w14:paraId="60539EE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shd w:val="clear" w:color="000000" w:fill="FFFFFF" w:themeFill="background1"/>
            <w:vAlign w:val="center"/>
          </w:tcPr>
          <w:p w14:paraId="03051F47">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851" w:type="dxa"/>
            <w:shd w:val="clear" w:color="000000" w:fill="FFFFFF" w:themeFill="background1"/>
          </w:tcPr>
          <w:p w14:paraId="768DA235">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6CB7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0B64B49D">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7</w:t>
            </w:r>
          </w:p>
        </w:tc>
        <w:tc>
          <w:tcPr>
            <w:tcW w:w="2126" w:type="dxa"/>
            <w:vAlign w:val="center"/>
          </w:tcPr>
          <w:p w14:paraId="31719778">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六类非屏蔽双绞线</w:t>
            </w:r>
          </w:p>
        </w:tc>
        <w:tc>
          <w:tcPr>
            <w:tcW w:w="2552" w:type="dxa"/>
            <w:shd w:val="clear" w:color="000000" w:fill="FFFFFF"/>
          </w:tcPr>
          <w:p w14:paraId="6DCCA56A">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5EF2D701">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708" w:type="dxa"/>
            <w:vAlign w:val="center"/>
          </w:tcPr>
          <w:p w14:paraId="252F392D">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箱</w:t>
            </w:r>
          </w:p>
        </w:tc>
        <w:tc>
          <w:tcPr>
            <w:tcW w:w="851" w:type="dxa"/>
          </w:tcPr>
          <w:p w14:paraId="1FB137D6">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66E2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2B8BF3C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8</w:t>
            </w:r>
          </w:p>
        </w:tc>
        <w:tc>
          <w:tcPr>
            <w:tcW w:w="2126" w:type="dxa"/>
            <w:vAlign w:val="center"/>
          </w:tcPr>
          <w:p w14:paraId="3312DEB9">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监控主干电源线</w:t>
            </w:r>
          </w:p>
        </w:tc>
        <w:tc>
          <w:tcPr>
            <w:tcW w:w="2552" w:type="dxa"/>
            <w:shd w:val="clear" w:color="000000" w:fill="FFFFFF"/>
          </w:tcPr>
          <w:p w14:paraId="75F72E1B">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26B0A5EA">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708" w:type="dxa"/>
            <w:vAlign w:val="center"/>
          </w:tcPr>
          <w:p w14:paraId="61D9CF4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捆</w:t>
            </w:r>
          </w:p>
        </w:tc>
        <w:tc>
          <w:tcPr>
            <w:tcW w:w="851" w:type="dxa"/>
          </w:tcPr>
          <w:p w14:paraId="7BF0FB3A">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03E2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709" w:type="dxa"/>
            <w:vAlign w:val="center"/>
          </w:tcPr>
          <w:p w14:paraId="10BAA3B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lang w:eastAsia="zh-CN"/>
              </w:rPr>
              <w:t xml:space="preserve">  </w:t>
            </w:r>
            <w:r>
              <w:rPr>
                <w:rFonts w:hint="eastAsia" w:ascii="宋体" w:hAnsi="宋体" w:eastAsia="宋体" w:cs="宋体"/>
                <w:color w:val="000000"/>
                <w:kern w:val="0"/>
                <w:sz w:val="20"/>
                <w:szCs w:val="20"/>
                <w:highlight w:val="none"/>
              </w:rPr>
              <w:t>9</w:t>
            </w:r>
          </w:p>
        </w:tc>
        <w:tc>
          <w:tcPr>
            <w:tcW w:w="2126" w:type="dxa"/>
            <w:vAlign w:val="center"/>
          </w:tcPr>
          <w:p w14:paraId="63285A82">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PVC20管</w:t>
            </w:r>
          </w:p>
        </w:tc>
        <w:tc>
          <w:tcPr>
            <w:tcW w:w="2552" w:type="dxa"/>
            <w:shd w:val="clear" w:color="000000" w:fill="FFFFFF"/>
          </w:tcPr>
          <w:p w14:paraId="1E2506B1">
            <w:pPr>
              <w:widowControl/>
              <w:spacing w:line="240" w:lineRule="auto"/>
              <w:ind w:firstLine="0" w:firstLineChars="0"/>
              <w:jc w:val="left"/>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详见技术和服务要求</w:t>
            </w:r>
          </w:p>
        </w:tc>
        <w:tc>
          <w:tcPr>
            <w:tcW w:w="709" w:type="dxa"/>
            <w:vAlign w:val="center"/>
          </w:tcPr>
          <w:p w14:paraId="0D7E897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260</w:t>
            </w:r>
          </w:p>
        </w:tc>
        <w:tc>
          <w:tcPr>
            <w:tcW w:w="708" w:type="dxa"/>
            <w:vAlign w:val="center"/>
          </w:tcPr>
          <w:p w14:paraId="4A6D94C5">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米</w:t>
            </w:r>
          </w:p>
        </w:tc>
        <w:tc>
          <w:tcPr>
            <w:tcW w:w="851" w:type="dxa"/>
          </w:tcPr>
          <w:p w14:paraId="68F115EB">
            <w:pPr>
              <w:widowControl/>
              <w:spacing w:line="240" w:lineRule="auto"/>
              <w:ind w:firstLine="0" w:firstLineChars="0"/>
              <w:jc w:val="center"/>
              <w:rPr>
                <w:rFonts w:hint="eastAsia" w:ascii="宋体" w:hAnsi="宋体" w:eastAsia="宋体" w:cs="宋体"/>
                <w:color w:val="000000"/>
                <w:kern w:val="0"/>
                <w:sz w:val="20"/>
                <w:szCs w:val="20"/>
                <w:highlight w:val="none"/>
              </w:rPr>
            </w:pPr>
          </w:p>
        </w:tc>
      </w:tr>
    </w:tbl>
    <w:p w14:paraId="54437E66">
      <w:pPr>
        <w:pStyle w:val="47"/>
        <w:widowControl w:val="0"/>
        <w:jc w:val="both"/>
        <w:rPr>
          <w:rFonts w:hint="eastAsia"/>
          <w:sz w:val="24"/>
          <w:highlight w:val="none"/>
          <w:lang w:val="en-US" w:eastAsia="zh-CN"/>
        </w:rPr>
      </w:pPr>
    </w:p>
    <w:p w14:paraId="4C86DD49">
      <w:pPr>
        <w:pStyle w:val="47"/>
        <w:widowControl w:val="0"/>
        <w:jc w:val="both"/>
        <w:rPr>
          <w:rFonts w:hint="eastAsia"/>
          <w:sz w:val="24"/>
          <w:highlight w:val="none"/>
          <w:lang w:val="en-US" w:eastAsia="zh-CN"/>
        </w:rPr>
      </w:pPr>
      <w:r>
        <w:rPr>
          <w:rFonts w:hint="eastAsia"/>
          <w:sz w:val="24"/>
          <w:highlight w:val="none"/>
          <w:lang w:val="en-US" w:eastAsia="zh-CN"/>
        </w:rPr>
        <w:t>4、投标人报价应包括产品制造、运输、装卸、软硬件安装、调试、搬运及设备就位、培训、保修、售后服务、税金相关费用。</w:t>
      </w:r>
    </w:p>
    <w:p w14:paraId="19C5D975">
      <w:pPr>
        <w:pStyle w:val="47"/>
        <w:widowControl w:val="0"/>
        <w:jc w:val="both"/>
        <w:rPr>
          <w:rFonts w:hint="eastAsia"/>
          <w:sz w:val="24"/>
          <w:highlight w:val="none"/>
          <w:lang w:val="en-US" w:eastAsia="zh-CN"/>
        </w:rPr>
      </w:pPr>
      <w:r>
        <w:rPr>
          <w:rFonts w:hint="eastAsia"/>
          <w:sz w:val="24"/>
          <w:highlight w:val="none"/>
          <w:lang w:val="en-US" w:eastAsia="zh-CN"/>
        </w:rPr>
        <w:t>5、投标人务必仔细阅读招标文件中所规定的，其中包括技术规格在内的所有细则。</w:t>
      </w:r>
    </w:p>
    <w:p w14:paraId="676D52FF">
      <w:pPr>
        <w:pStyle w:val="47"/>
        <w:widowControl w:val="0"/>
        <w:numPr>
          <w:ilvl w:val="0"/>
          <w:numId w:val="0"/>
        </w:numPr>
        <w:snapToGrid w:val="0"/>
        <w:ind w:firstLine="480" w:firstLineChars="200"/>
        <w:jc w:val="left"/>
        <w:rPr>
          <w:rFonts w:hint="eastAsia"/>
          <w:sz w:val="24"/>
          <w:highlight w:val="none"/>
          <w:lang w:val="en-US" w:eastAsia="zh-CN"/>
        </w:rPr>
      </w:pPr>
    </w:p>
    <w:p w14:paraId="7518621C">
      <w:pPr>
        <w:pStyle w:val="47"/>
        <w:widowControl w:val="0"/>
        <w:numPr>
          <w:ilvl w:val="0"/>
          <w:numId w:val="0"/>
        </w:numPr>
        <w:jc w:val="both"/>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t>二、技术服务要求（以“★”标示的内容为不允许负偏离的实质性要求）</w:t>
      </w:r>
    </w:p>
    <w:tbl>
      <w:tblPr>
        <w:tblStyle w:val="22"/>
        <w:tblW w:w="0" w:type="auto"/>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159"/>
        <w:gridCol w:w="5334"/>
        <w:gridCol w:w="529"/>
        <w:gridCol w:w="442"/>
        <w:gridCol w:w="442"/>
      </w:tblGrid>
      <w:tr w14:paraId="2DD04A8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0" w:type="auto"/>
            <w:vAlign w:val="center"/>
          </w:tcPr>
          <w:p w14:paraId="24819EE4">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序号</w:t>
            </w:r>
          </w:p>
        </w:tc>
        <w:tc>
          <w:tcPr>
            <w:tcW w:w="0" w:type="auto"/>
            <w:vAlign w:val="center"/>
          </w:tcPr>
          <w:p w14:paraId="1BB949B4">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项目名称</w:t>
            </w:r>
          </w:p>
        </w:tc>
        <w:tc>
          <w:tcPr>
            <w:tcW w:w="0" w:type="auto"/>
            <w:vAlign w:val="center"/>
          </w:tcPr>
          <w:p w14:paraId="2E4D2CB3">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参数规格</w:t>
            </w:r>
          </w:p>
        </w:tc>
        <w:tc>
          <w:tcPr>
            <w:tcW w:w="0" w:type="auto"/>
            <w:vAlign w:val="center"/>
          </w:tcPr>
          <w:p w14:paraId="61B88C3E">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数量</w:t>
            </w:r>
          </w:p>
        </w:tc>
        <w:tc>
          <w:tcPr>
            <w:tcW w:w="0" w:type="auto"/>
            <w:vAlign w:val="center"/>
          </w:tcPr>
          <w:p w14:paraId="7FE90FB8">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单位</w:t>
            </w:r>
          </w:p>
        </w:tc>
        <w:tc>
          <w:tcPr>
            <w:tcW w:w="0" w:type="auto"/>
            <w:vAlign w:val="center"/>
          </w:tcPr>
          <w:p w14:paraId="2B0D06F2">
            <w:pPr>
              <w:widowControl/>
              <w:spacing w:line="240" w:lineRule="auto"/>
              <w:ind w:firstLine="0" w:firstLineChars="0"/>
              <w:jc w:val="center"/>
              <w:rPr>
                <w:rFonts w:hint="eastAsia" w:ascii="宋体" w:hAnsi="宋体" w:eastAsia="宋体" w:cs="宋体"/>
                <w:b/>
                <w:bCs/>
                <w:color w:val="000000"/>
                <w:kern w:val="0"/>
                <w:sz w:val="20"/>
                <w:szCs w:val="20"/>
                <w:highlight w:val="none"/>
              </w:rPr>
            </w:pPr>
            <w:r>
              <w:rPr>
                <w:rFonts w:hint="eastAsia" w:ascii="宋体" w:hAnsi="宋体" w:eastAsia="宋体" w:cs="宋体"/>
                <w:b/>
                <w:bCs/>
                <w:color w:val="000000"/>
                <w:kern w:val="0"/>
                <w:sz w:val="20"/>
                <w:szCs w:val="20"/>
                <w:highlight w:val="none"/>
              </w:rPr>
              <w:t>备注</w:t>
            </w:r>
          </w:p>
        </w:tc>
      </w:tr>
      <w:tr w14:paraId="3DBB7B2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0" w:type="auto"/>
            <w:shd w:val="clear" w:color="000000" w:fill="D9D9D9"/>
            <w:vAlign w:val="center"/>
          </w:tcPr>
          <w:p w14:paraId="2AC8FEDB">
            <w:pPr>
              <w:widowControl/>
              <w:spacing w:line="240" w:lineRule="auto"/>
              <w:ind w:firstLine="0" w:firstLineChars="0"/>
              <w:jc w:val="center"/>
              <w:rPr>
                <w:b/>
                <w:bCs/>
                <w:color w:val="000000"/>
                <w:sz w:val="20"/>
                <w:szCs w:val="20"/>
                <w:highlight w:val="none"/>
              </w:rPr>
            </w:pPr>
            <w:r>
              <w:rPr>
                <w:rFonts w:hint="eastAsia"/>
                <w:b/>
                <w:bCs/>
                <w:color w:val="000000"/>
                <w:sz w:val="20"/>
                <w:szCs w:val="20"/>
                <w:highlight w:val="none"/>
              </w:rPr>
              <w:t>一</w:t>
            </w:r>
          </w:p>
        </w:tc>
        <w:tc>
          <w:tcPr>
            <w:tcW w:w="0" w:type="auto"/>
            <w:gridSpan w:val="5"/>
            <w:shd w:val="clear" w:color="000000" w:fill="D9D9D9"/>
            <w:vAlign w:val="center"/>
          </w:tcPr>
          <w:p w14:paraId="7BE5E628">
            <w:pPr>
              <w:widowControl/>
              <w:spacing w:line="240" w:lineRule="auto"/>
              <w:ind w:firstLine="0" w:firstLineChars="0"/>
              <w:jc w:val="left"/>
              <w:rPr>
                <w:b/>
                <w:bCs/>
                <w:color w:val="000000"/>
                <w:sz w:val="20"/>
                <w:szCs w:val="20"/>
                <w:highlight w:val="none"/>
              </w:rPr>
            </w:pPr>
            <w:r>
              <w:rPr>
                <w:rFonts w:hint="eastAsia"/>
                <w:b/>
                <w:bCs/>
                <w:color w:val="000000"/>
                <w:sz w:val="20"/>
                <w:szCs w:val="20"/>
                <w:highlight w:val="none"/>
                <w:lang w:val="en-US" w:eastAsia="zh-CN"/>
              </w:rPr>
              <w:t>病理科</w:t>
            </w:r>
            <w:r>
              <w:rPr>
                <w:rFonts w:hint="eastAsia"/>
                <w:b/>
                <w:bCs/>
                <w:color w:val="000000"/>
                <w:sz w:val="20"/>
                <w:szCs w:val="20"/>
                <w:highlight w:val="none"/>
              </w:rPr>
              <w:t>（三/四层监控）</w:t>
            </w:r>
          </w:p>
        </w:tc>
      </w:tr>
      <w:tr w14:paraId="5D5FDFC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0" w:type="auto"/>
            <w:vAlign w:val="center"/>
          </w:tcPr>
          <w:p w14:paraId="5C6F585C">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w:t>
            </w:r>
          </w:p>
        </w:tc>
        <w:tc>
          <w:tcPr>
            <w:tcW w:w="0" w:type="auto"/>
            <w:vAlign w:val="center"/>
          </w:tcPr>
          <w:p w14:paraId="369DA42E">
            <w:pPr>
              <w:widowControl/>
              <w:spacing w:line="240" w:lineRule="auto"/>
              <w:ind w:firstLine="0" w:firstLineChars="0"/>
              <w:jc w:val="left"/>
              <w:rPr>
                <w:rFonts w:hint="eastAsia" w:ascii="宋体" w:hAnsi="宋体" w:eastAsia="宋体" w:cs="宋体"/>
                <w:color w:val="000000"/>
                <w:kern w:val="0"/>
                <w:sz w:val="20"/>
                <w:szCs w:val="20"/>
                <w:highlight w:val="none"/>
              </w:rPr>
            </w:pPr>
            <w:r>
              <w:rPr>
                <w:rStyle w:val="25"/>
                <w:rFonts w:cs="宋体"/>
                <w:b w:val="0"/>
                <w:highlight w:val="none"/>
                <w:shd w:val="clear" w:color="auto" w:fill="FFFFFF"/>
              </w:rPr>
              <w:t>◆</w:t>
            </w:r>
            <w:r>
              <w:rPr>
                <w:rFonts w:hint="eastAsia" w:ascii="宋体" w:hAnsi="宋体" w:eastAsia="宋体" w:cs="宋体"/>
                <w:color w:val="000000"/>
                <w:kern w:val="0"/>
                <w:sz w:val="20"/>
                <w:szCs w:val="20"/>
                <w:highlight w:val="none"/>
              </w:rPr>
              <w:t>400W室内半球（核心产品）</w:t>
            </w:r>
          </w:p>
        </w:tc>
        <w:tc>
          <w:tcPr>
            <w:tcW w:w="0" w:type="auto"/>
          </w:tcPr>
          <w:p w14:paraId="58B03B9F">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项号1. 靶面尺寸≥1/3，像素≥400万，分辨力≥1500TVL，内置≥1个麦克风；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项号2. 具有≥1个RJ45网络接口，具有≥1个音频输入接口，≥1个音频输出接口；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项号3. 具有≥1个报警输入接口，≥1个报警输出接口，。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项号4. 支持poe供电，能在额定电源电压±30%范围内正常工作，支持防反接保护，支持SD卡热插拔，SD卡支持≥256GB；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项号5. 支持红外补光，≥IP67防尘防水，≥IK10防暴等级。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项号6. 最低照度彩色：≤0.002 lx，黑白:≤0.0002 lx，最大亮度鉴别等级（灰度等级）≥11级。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项号7. 具备区域入侵、越界入侵、进入区域、离开区域、人员聚集、快速移动、徘徊、物品移除、物品遗留、停车智能分析功能.</w:t>
            </w:r>
          </w:p>
        </w:tc>
        <w:tc>
          <w:tcPr>
            <w:tcW w:w="0" w:type="auto"/>
            <w:vAlign w:val="center"/>
          </w:tcPr>
          <w:p w14:paraId="7BEC2477">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20</w:t>
            </w:r>
          </w:p>
        </w:tc>
        <w:tc>
          <w:tcPr>
            <w:tcW w:w="0" w:type="auto"/>
            <w:vAlign w:val="center"/>
          </w:tcPr>
          <w:p w14:paraId="2D3FE40A">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071C2263">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0D7D9B7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0" w:type="auto"/>
            <w:vAlign w:val="center"/>
          </w:tcPr>
          <w:p w14:paraId="42185E0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1.2</w:t>
            </w:r>
          </w:p>
        </w:tc>
        <w:tc>
          <w:tcPr>
            <w:tcW w:w="0" w:type="auto"/>
            <w:vAlign w:val="center"/>
          </w:tcPr>
          <w:p w14:paraId="3BDD48F4">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拾音器</w:t>
            </w:r>
          </w:p>
        </w:tc>
        <w:tc>
          <w:tcPr>
            <w:tcW w:w="0" w:type="auto"/>
          </w:tcPr>
          <w:p w14:paraId="33449ADF">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项号8. 拾音器音频输出不应存在与拾音器环境不相符的音量变化、声音断续等现象，且能够清晰地探测到现场的语音和凿、锯、砸等动作发出的声音。</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项号9. 拾音器典型频率响应曲线覆盖100Hz~12000Hz频率范围，频率范围内典型频率响应相对于1kHz典型频率响应的偏离应≤5dB。</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项号10. 对于灵敏度可调的拾音器，单只拾音器自由场灵敏度级调节范围应≥30dB。</w:t>
            </w:r>
            <w:r>
              <w:rPr>
                <w:rFonts w:hint="eastAsia" w:ascii="宋体" w:hAnsi="宋体" w:eastAsia="宋体" w:cs="宋体"/>
                <w:color w:val="000000"/>
                <w:kern w:val="0"/>
                <w:sz w:val="20"/>
                <w:szCs w:val="20"/>
                <w:highlight w:val="none"/>
              </w:rPr>
              <w:br w:type="textWrapping"/>
            </w:r>
          </w:p>
        </w:tc>
        <w:tc>
          <w:tcPr>
            <w:tcW w:w="0" w:type="auto"/>
            <w:vAlign w:val="center"/>
          </w:tcPr>
          <w:p w14:paraId="69F63BD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2663B23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0" w:type="auto"/>
            <w:vAlign w:val="center"/>
          </w:tcPr>
          <w:p w14:paraId="59B846B6">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20D7848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0" w:type="auto"/>
            <w:vAlign w:val="center"/>
          </w:tcPr>
          <w:p w14:paraId="26C12A66">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1.3</w:t>
            </w:r>
          </w:p>
        </w:tc>
        <w:tc>
          <w:tcPr>
            <w:tcW w:w="0" w:type="auto"/>
            <w:vAlign w:val="center"/>
          </w:tcPr>
          <w:p w14:paraId="5B84578E">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监控存储节点</w:t>
            </w:r>
          </w:p>
        </w:tc>
        <w:tc>
          <w:tcPr>
            <w:tcW w:w="0" w:type="auto"/>
          </w:tcPr>
          <w:p w14:paraId="7F1FCDE1">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项号11. 具有≥2个HDMI接口、≥2个VGA接口、≥2个RJ45千兆网络接口、≥2个USB2.0接口、≥2个USB3.0接口、≥1个RS232接口、≥1个RS485接口（可接入RS485键盘）；具有≥1路音频输入接口、≥2路音频输出接口，≥16路报警输入接口、≥4路报警输出接口；可内置≥16个SATA接口硬盘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项号12. 支持接入带宽≥384Mbps，存储带宽≥384Mbps，转发带宽≥256Mbps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项号13. HDMI1和HDMI2支持同时4K（4096×2160）异源输出或最大单路≥8K（7680×4320）和≥1080P（1920×1080）异源输出。</w:t>
            </w:r>
            <w:r>
              <w:rPr>
                <w:rFonts w:hint="eastAsia" w:ascii="宋体" w:hAnsi="宋体" w:eastAsia="宋体" w:cs="宋体"/>
                <w:b/>
                <w:bCs/>
                <w:color w:val="000000"/>
                <w:kern w:val="0"/>
                <w:sz w:val="20"/>
                <w:szCs w:val="20"/>
                <w:highlight w:val="none"/>
              </w:rPr>
              <w:t>（前述技术参数均须在投标文件中提供第三方检测机构出具的具有CMA或CNAS标识的有效检测报告复印件进行佐证)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项号14. 设备支持分组管理，支持将接入的视频通道按分组管理；支持以分组方式进行预览、回放和检索；自定义视图支持以分组方式拖动通道进行配置。</w:t>
            </w:r>
            <w:r>
              <w:rPr>
                <w:rFonts w:hint="eastAsia" w:ascii="宋体" w:hAnsi="宋体" w:eastAsia="宋体" w:cs="宋体"/>
                <w:b/>
                <w:bCs/>
                <w:color w:val="000000"/>
                <w:kern w:val="0"/>
                <w:sz w:val="20"/>
                <w:szCs w:val="20"/>
                <w:highlight w:val="none"/>
              </w:rPr>
              <w:t>（前述技术参数均须在投标文件中 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项号15. 切片回放功能，支持按月、日、小时维度进行切片展示，按月支持≥30个切片，按日支持≥24个切片，按时支持≥60个切片。 </w:t>
            </w:r>
            <w:r>
              <w:rPr>
                <w:rFonts w:hint="eastAsia" w:ascii="宋体" w:hAnsi="宋体" w:eastAsia="宋体" w:cs="宋体"/>
                <w:color w:val="000000"/>
                <w:kern w:val="0"/>
                <w:sz w:val="20"/>
                <w:szCs w:val="20"/>
                <w:highlight w:val="none"/>
              </w:rPr>
              <w:br w:type="textWrapping"/>
            </w: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项号16. 支持预览时对实时视频流进行手动打标签，通过标签检索可以检索到相关的录像片段。</w:t>
            </w:r>
            <w:r>
              <w:rPr>
                <w:rFonts w:hint="eastAsia" w:ascii="宋体" w:hAnsi="宋体" w:eastAsia="宋体" w:cs="宋体"/>
                <w:b/>
                <w:bCs/>
                <w:color w:val="000000"/>
                <w:kern w:val="0"/>
                <w:sz w:val="20"/>
                <w:szCs w:val="20"/>
                <w:highlight w:val="none"/>
              </w:rPr>
              <w:t>（前述技术参数均须在投标文件中提供第三方检测机构出具的具有CMA或CNAS标识的有效检测报告复印件进行佐证)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项号17. 支持前端IPC证书二次校验机制，未通过证书校验的IPC不允许添加到NVR </w:t>
            </w:r>
          </w:p>
        </w:tc>
        <w:tc>
          <w:tcPr>
            <w:tcW w:w="0" w:type="auto"/>
            <w:vAlign w:val="center"/>
          </w:tcPr>
          <w:p w14:paraId="022A352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2845580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074FF0DA">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5D64A4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0" w:type="auto"/>
            <w:vAlign w:val="center"/>
          </w:tcPr>
          <w:p w14:paraId="07051F9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0" w:type="auto"/>
            <w:vAlign w:val="center"/>
          </w:tcPr>
          <w:p w14:paraId="6A9AB6AE">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监控硬盘</w:t>
            </w:r>
          </w:p>
        </w:tc>
        <w:tc>
          <w:tcPr>
            <w:tcW w:w="0" w:type="auto"/>
          </w:tcPr>
          <w:p w14:paraId="4C5F1996">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项号18.≥12TB容量，3.5英寸，SATA接口，≥7200RPM</w:t>
            </w:r>
          </w:p>
        </w:tc>
        <w:tc>
          <w:tcPr>
            <w:tcW w:w="0" w:type="auto"/>
            <w:vAlign w:val="center"/>
          </w:tcPr>
          <w:p w14:paraId="77656A4D">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14</w:t>
            </w:r>
          </w:p>
        </w:tc>
        <w:tc>
          <w:tcPr>
            <w:tcW w:w="0" w:type="auto"/>
            <w:vAlign w:val="center"/>
          </w:tcPr>
          <w:p w14:paraId="08AC11E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块</w:t>
            </w:r>
          </w:p>
        </w:tc>
        <w:tc>
          <w:tcPr>
            <w:tcW w:w="0" w:type="auto"/>
            <w:vAlign w:val="center"/>
          </w:tcPr>
          <w:p w14:paraId="4C366244">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58346C5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92" w:hRule="atLeast"/>
        </w:trPr>
        <w:tc>
          <w:tcPr>
            <w:tcW w:w="0" w:type="auto"/>
            <w:vAlign w:val="center"/>
          </w:tcPr>
          <w:p w14:paraId="7911D9C7">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1.5</w:t>
            </w:r>
          </w:p>
        </w:tc>
        <w:tc>
          <w:tcPr>
            <w:tcW w:w="0" w:type="auto"/>
            <w:vAlign w:val="center"/>
          </w:tcPr>
          <w:p w14:paraId="3CDC9AAF">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视频通道数扩容授权</w:t>
            </w:r>
          </w:p>
        </w:tc>
        <w:tc>
          <w:tcPr>
            <w:tcW w:w="0" w:type="auto"/>
            <w:vAlign w:val="center"/>
          </w:tcPr>
          <w:p w14:paraId="7626FAEC">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项号19.视频监控系统扩容；</w:t>
            </w:r>
          </w:p>
        </w:tc>
        <w:tc>
          <w:tcPr>
            <w:tcW w:w="0" w:type="auto"/>
            <w:vAlign w:val="center"/>
          </w:tcPr>
          <w:p w14:paraId="50751749">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50</w:t>
            </w:r>
          </w:p>
        </w:tc>
        <w:tc>
          <w:tcPr>
            <w:tcW w:w="0" w:type="auto"/>
            <w:vAlign w:val="center"/>
          </w:tcPr>
          <w:p w14:paraId="370B268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路</w:t>
            </w:r>
          </w:p>
        </w:tc>
        <w:tc>
          <w:tcPr>
            <w:tcW w:w="0" w:type="auto"/>
            <w:vAlign w:val="center"/>
          </w:tcPr>
          <w:p w14:paraId="41D30A06">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105C21C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0" w:type="auto"/>
            <w:vAlign w:val="center"/>
          </w:tcPr>
          <w:p w14:paraId="6E2DD9A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1.6</w:t>
            </w:r>
          </w:p>
        </w:tc>
        <w:tc>
          <w:tcPr>
            <w:tcW w:w="0" w:type="auto"/>
            <w:vAlign w:val="center"/>
          </w:tcPr>
          <w:p w14:paraId="700348B5">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24口POE接入交换机</w:t>
            </w:r>
          </w:p>
        </w:tc>
        <w:tc>
          <w:tcPr>
            <w:tcW w:w="0" w:type="auto"/>
          </w:tcPr>
          <w:p w14:paraId="490949C1">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项号20.交换容量≥598Gbps，包转发率≥126Mpps；固化10/100/1000M以太网端口≥24个，SFP非复用口≥4个。</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项号21.要求所投设备MAC地址≥16K。</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项号22.支持POE和POE+远程供电，整机POE功率输出≥370W，提供所投产品官网截图、实物照片。</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项号23.支持IPv4和IPv6的静态路由、RIP/RIPng、OSPFv2/OSPFv3等三层路由协议。支持1对1、1对多、多对1和基于流的本地、远程镜像；且支持RSPAN和ERSPAN。</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项号24.支持CPU保护功能，能够针对发往CPU处理的各种报文进行流区分和优先级队列分级处理，保护交换机在各种环境下稳定工作。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项号25</w:t>
            </w:r>
            <w:r>
              <w:rPr>
                <w:rFonts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支持专门基础网络保护机制，能够限制用户向网络中发送数据包的速率，对有攻击行为的用户进行隔离，保证设备和整网的安全稳定运行。</w:t>
            </w:r>
          </w:p>
        </w:tc>
        <w:tc>
          <w:tcPr>
            <w:tcW w:w="0" w:type="auto"/>
            <w:vAlign w:val="center"/>
          </w:tcPr>
          <w:p w14:paraId="045F50A7">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0" w:type="auto"/>
            <w:vAlign w:val="center"/>
          </w:tcPr>
          <w:p w14:paraId="57A5BA7C">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0BEFFA25">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2BFFF15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0" w:type="auto"/>
            <w:vAlign w:val="center"/>
          </w:tcPr>
          <w:p w14:paraId="39889BF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1.7</w:t>
            </w:r>
          </w:p>
        </w:tc>
        <w:tc>
          <w:tcPr>
            <w:tcW w:w="0" w:type="auto"/>
            <w:vAlign w:val="center"/>
          </w:tcPr>
          <w:p w14:paraId="48D365C9">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6U机柜</w:t>
            </w:r>
          </w:p>
        </w:tc>
        <w:tc>
          <w:tcPr>
            <w:tcW w:w="0" w:type="auto"/>
          </w:tcPr>
          <w:p w14:paraId="70F4A5CF">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项号26.尺寸：≥6</w:t>
            </w:r>
            <w:r>
              <w:rPr>
                <w:rFonts w:ascii="宋体" w:hAnsi="宋体" w:eastAsia="宋体" w:cs="宋体"/>
                <w:color w:val="000000"/>
                <w:kern w:val="0"/>
                <w:sz w:val="20"/>
                <w:szCs w:val="20"/>
                <w:highlight w:val="none"/>
              </w:rPr>
              <w:t>U</w:t>
            </w:r>
            <w:r>
              <w:rPr>
                <w:rFonts w:hint="eastAsia" w:ascii="宋体" w:hAnsi="宋体" w:eastAsia="宋体" w:cs="宋体"/>
                <w:color w:val="000000"/>
                <w:kern w:val="0"/>
                <w:sz w:val="20"/>
                <w:szCs w:val="20"/>
                <w:highlight w:val="none"/>
              </w:rPr>
              <w:t>；安装尺寸：19英寸；</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项号27.静态负载(Kg)：≥60；</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项号28.防护等级：≥IP20；</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项号29.框架：整体焊接式结构；前门：单开透明≥5mm钢化玻璃。</w:t>
            </w:r>
          </w:p>
        </w:tc>
        <w:tc>
          <w:tcPr>
            <w:tcW w:w="0" w:type="auto"/>
            <w:vAlign w:val="center"/>
          </w:tcPr>
          <w:p w14:paraId="7489F59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6B9F008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个</w:t>
            </w:r>
          </w:p>
        </w:tc>
        <w:tc>
          <w:tcPr>
            <w:tcW w:w="0" w:type="auto"/>
            <w:vAlign w:val="center"/>
          </w:tcPr>
          <w:p w14:paraId="4DE38206">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2EC349C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14D9F27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1.8</w:t>
            </w:r>
          </w:p>
        </w:tc>
        <w:tc>
          <w:tcPr>
            <w:tcW w:w="0" w:type="auto"/>
            <w:vAlign w:val="center"/>
          </w:tcPr>
          <w:p w14:paraId="0838907D">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监控主干电源线</w:t>
            </w:r>
          </w:p>
        </w:tc>
        <w:tc>
          <w:tcPr>
            <w:tcW w:w="0" w:type="auto"/>
            <w:shd w:val="clear" w:color="000000" w:fill="FFFFFF"/>
            <w:vAlign w:val="center"/>
          </w:tcPr>
          <w:p w14:paraId="7D0BAE2C">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w:t>
            </w:r>
            <w:r>
              <w:rPr>
                <w:rFonts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rPr>
              <w:t>0.规格≥RVV3*1.5</w:t>
            </w:r>
          </w:p>
        </w:tc>
        <w:tc>
          <w:tcPr>
            <w:tcW w:w="0" w:type="auto"/>
            <w:vAlign w:val="center"/>
          </w:tcPr>
          <w:p w14:paraId="4425D8FA">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7B01C68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捆</w:t>
            </w:r>
          </w:p>
        </w:tc>
        <w:tc>
          <w:tcPr>
            <w:tcW w:w="0" w:type="auto"/>
            <w:vAlign w:val="center"/>
          </w:tcPr>
          <w:p w14:paraId="0E2B50B1">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4DB55A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0" w:type="auto"/>
            <w:vAlign w:val="center"/>
          </w:tcPr>
          <w:p w14:paraId="14F228F8">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1.9</w:t>
            </w:r>
          </w:p>
        </w:tc>
        <w:tc>
          <w:tcPr>
            <w:tcW w:w="0" w:type="auto"/>
            <w:vAlign w:val="center"/>
          </w:tcPr>
          <w:p w14:paraId="291A651F">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六类非屏蔽双绞线</w:t>
            </w:r>
          </w:p>
        </w:tc>
        <w:tc>
          <w:tcPr>
            <w:tcW w:w="0" w:type="auto"/>
            <w:shd w:val="clear" w:color="000000" w:fill="FFFFFF"/>
            <w:vAlign w:val="center"/>
          </w:tcPr>
          <w:p w14:paraId="74A6247C">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w:t>
            </w:r>
            <w:r>
              <w:rPr>
                <w:rFonts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rPr>
              <w:t>1.最高传输频率≥250MHz，额定传输速率≥68%；</w:t>
            </w:r>
          </w:p>
          <w:p w14:paraId="24D29B2A">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w:t>
            </w:r>
            <w:r>
              <w:rPr>
                <w:rFonts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rPr>
              <w:t>2.线对采用“十”字骨架隔离，护套材料：PVC；</w:t>
            </w:r>
          </w:p>
          <w:p w14:paraId="3E97664F">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w:t>
            </w:r>
            <w:r>
              <w:rPr>
                <w:rFonts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rPr>
              <w:t>3.六类非屏蔽信道供电设备输出功率≥103W，终端设备输入功率≥90W，吞吐量满足双向≥1000Mbit/S，侦丢失率满足0.00%。</w:t>
            </w:r>
          </w:p>
        </w:tc>
        <w:tc>
          <w:tcPr>
            <w:tcW w:w="0" w:type="auto"/>
            <w:vAlign w:val="center"/>
          </w:tcPr>
          <w:p w14:paraId="513CCC8D">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w:t>
            </w:r>
          </w:p>
        </w:tc>
        <w:tc>
          <w:tcPr>
            <w:tcW w:w="0" w:type="auto"/>
            <w:vAlign w:val="center"/>
          </w:tcPr>
          <w:p w14:paraId="24800D9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箱</w:t>
            </w:r>
          </w:p>
        </w:tc>
        <w:tc>
          <w:tcPr>
            <w:tcW w:w="0" w:type="auto"/>
            <w:vAlign w:val="center"/>
          </w:tcPr>
          <w:p w14:paraId="5F9762C7">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41E2335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0" w:type="auto"/>
            <w:vAlign w:val="center"/>
          </w:tcPr>
          <w:p w14:paraId="4152B55D">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1.10</w:t>
            </w:r>
          </w:p>
        </w:tc>
        <w:tc>
          <w:tcPr>
            <w:tcW w:w="0" w:type="auto"/>
            <w:vAlign w:val="center"/>
          </w:tcPr>
          <w:p w14:paraId="1D049245">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PVC20管</w:t>
            </w:r>
          </w:p>
        </w:tc>
        <w:tc>
          <w:tcPr>
            <w:tcW w:w="0" w:type="auto"/>
            <w:shd w:val="clear" w:color="000000" w:fill="FFFFFF"/>
            <w:vAlign w:val="center"/>
          </w:tcPr>
          <w:p w14:paraId="536C209B">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w:t>
            </w:r>
            <w:r>
              <w:rPr>
                <w:rFonts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rPr>
              <w:t>4.规格≥DN20，材质PVC线管；</w:t>
            </w:r>
          </w:p>
        </w:tc>
        <w:tc>
          <w:tcPr>
            <w:tcW w:w="0" w:type="auto"/>
            <w:vAlign w:val="center"/>
          </w:tcPr>
          <w:p w14:paraId="762BB558">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830</w:t>
            </w:r>
          </w:p>
        </w:tc>
        <w:tc>
          <w:tcPr>
            <w:tcW w:w="0" w:type="auto"/>
            <w:vAlign w:val="center"/>
          </w:tcPr>
          <w:p w14:paraId="05D8E569">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米</w:t>
            </w:r>
          </w:p>
        </w:tc>
        <w:tc>
          <w:tcPr>
            <w:tcW w:w="0" w:type="auto"/>
            <w:vAlign w:val="center"/>
          </w:tcPr>
          <w:p w14:paraId="6CE5AB1C">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797DA38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98" w:hRule="atLeast"/>
        </w:trPr>
        <w:tc>
          <w:tcPr>
            <w:tcW w:w="0" w:type="auto"/>
            <w:shd w:val="clear" w:color="000000" w:fill="D9D9D9"/>
            <w:vAlign w:val="center"/>
          </w:tcPr>
          <w:p w14:paraId="1DD7F58F">
            <w:pPr>
              <w:widowControl/>
              <w:spacing w:line="240" w:lineRule="auto"/>
              <w:ind w:firstLine="0" w:firstLineChars="0"/>
              <w:jc w:val="center"/>
              <w:rPr>
                <w:b/>
                <w:bCs/>
                <w:color w:val="000000"/>
                <w:sz w:val="20"/>
                <w:szCs w:val="20"/>
                <w:highlight w:val="none"/>
              </w:rPr>
            </w:pPr>
            <w:r>
              <w:rPr>
                <w:rFonts w:hint="eastAsia"/>
                <w:b/>
                <w:bCs/>
                <w:color w:val="000000"/>
                <w:sz w:val="20"/>
                <w:szCs w:val="20"/>
                <w:highlight w:val="none"/>
              </w:rPr>
              <w:t>二</w:t>
            </w:r>
          </w:p>
        </w:tc>
        <w:tc>
          <w:tcPr>
            <w:tcW w:w="0" w:type="auto"/>
            <w:gridSpan w:val="5"/>
            <w:shd w:val="clear" w:color="000000" w:fill="D9D9D9"/>
            <w:vAlign w:val="center"/>
          </w:tcPr>
          <w:p w14:paraId="334F04F3">
            <w:pPr>
              <w:widowControl/>
              <w:spacing w:line="240" w:lineRule="auto"/>
              <w:ind w:firstLine="0" w:firstLineChars="0"/>
              <w:jc w:val="left"/>
              <w:rPr>
                <w:b/>
                <w:bCs/>
                <w:color w:val="000000"/>
                <w:sz w:val="20"/>
                <w:szCs w:val="20"/>
                <w:highlight w:val="none"/>
              </w:rPr>
            </w:pPr>
            <w:r>
              <w:rPr>
                <w:rFonts w:hint="eastAsia"/>
                <w:b/>
                <w:bCs/>
                <w:color w:val="000000"/>
                <w:sz w:val="20"/>
                <w:szCs w:val="20"/>
                <w:highlight w:val="none"/>
              </w:rPr>
              <w:t>内科楼地下一层</w:t>
            </w:r>
          </w:p>
        </w:tc>
      </w:tr>
      <w:tr w14:paraId="11C5641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63F6B7A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2.1</w:t>
            </w:r>
          </w:p>
        </w:tc>
        <w:tc>
          <w:tcPr>
            <w:tcW w:w="0" w:type="auto"/>
            <w:vAlign w:val="center"/>
          </w:tcPr>
          <w:p w14:paraId="0AEFBEC3">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400W室内枪机</w:t>
            </w:r>
          </w:p>
        </w:tc>
        <w:tc>
          <w:tcPr>
            <w:tcW w:w="0" w:type="auto"/>
            <w:shd w:val="clear" w:color="000000" w:fill="FFFFFF"/>
            <w:vAlign w:val="center"/>
          </w:tcPr>
          <w:p w14:paraId="2A75EA73">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w:t>
            </w:r>
            <w:r>
              <w:rPr>
                <w:rFonts w:ascii="宋体" w:hAnsi="宋体" w:eastAsia="宋体" w:cs="宋体"/>
                <w:color w:val="000000"/>
                <w:kern w:val="0"/>
                <w:sz w:val="20"/>
                <w:szCs w:val="20"/>
                <w:highlight w:val="none"/>
              </w:rPr>
              <w:t>3</w:t>
            </w:r>
            <w:r>
              <w:rPr>
                <w:rFonts w:hint="eastAsia" w:ascii="宋体" w:hAnsi="宋体" w:eastAsia="宋体" w:cs="宋体"/>
                <w:color w:val="000000"/>
                <w:kern w:val="0"/>
                <w:sz w:val="20"/>
                <w:szCs w:val="20"/>
                <w:highlight w:val="none"/>
              </w:rPr>
              <w:t xml:space="preserve">5. 像素≥400万，清晰度≥1400TVL，内置≥1颗CPU、GPU、NPU于一体的芯片，支持DC12V或POE供电。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项号36. 补光灯灯杯采用双层透镜结构，外表平面为柔光层，采用复眼式微透镜阵列，具有六边形阵列纹路;下层束光层为鳞甲TIR透镜，内壁具有鳞甲阵列纹路。 </w:t>
            </w:r>
            <w:r>
              <w:rPr>
                <w:rFonts w:hint="eastAsia" w:ascii="宋体" w:hAnsi="宋体" w:eastAsia="宋体" w:cs="宋体"/>
                <w:b/>
                <w:bCs/>
                <w:color w:val="000000"/>
                <w:kern w:val="0"/>
                <w:sz w:val="20"/>
                <w:szCs w:val="20"/>
                <w:highlight w:val="none"/>
              </w:rPr>
              <w:t>（前述技术参数均须在投标文件中提供第三方检测机构出具的具有CMA或CNAS标识的有效检测报告复印件进行佐证)</w:t>
            </w:r>
            <w:r>
              <w:rPr>
                <w:rFonts w:hint="eastAsia" w:ascii="宋体" w:hAnsi="宋体" w:eastAsia="宋体" w:cs="宋体"/>
                <w:b/>
                <w:bCs/>
                <w:color w:val="000000"/>
                <w:kern w:val="0"/>
                <w:sz w:val="20"/>
                <w:szCs w:val="20"/>
                <w:highlight w:val="none"/>
              </w:rPr>
              <w:br w:type="textWrapping"/>
            </w: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项号37. 补光灯开启后，灯光应为椭圆形形状，且补光灯均匀无波纹状、圆环状、麻点状、条纹状和不规则亮斑。</w:t>
            </w:r>
            <w:r>
              <w:rPr>
                <w:rFonts w:hint="eastAsia" w:ascii="宋体" w:hAnsi="宋体" w:eastAsia="宋体" w:cs="宋体"/>
                <w:b/>
                <w:bCs/>
                <w:color w:val="000000"/>
                <w:kern w:val="0"/>
                <w:sz w:val="20"/>
                <w:szCs w:val="20"/>
                <w:highlight w:val="none"/>
              </w:rPr>
              <w:t>（前述技术参数均须在投标文件中提供第三方检测机构出具的具有CMA或CNAS标识的有效检测报告复印件进行佐证)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项号38. 具有日夜场景自适应功能，在白天和夜晚环境下，样机均可输出彩色图像，在夜晚自动开启补光灯条件下，夜晚图像清晰度应≥白天图像清晰度的95%。 </w:t>
            </w:r>
            <w:r>
              <w:rPr>
                <w:rFonts w:hint="eastAsia" w:ascii="宋体" w:hAnsi="宋体" w:eastAsia="宋体" w:cs="宋体"/>
                <w:color w:val="000000"/>
                <w:kern w:val="0"/>
                <w:sz w:val="20"/>
                <w:szCs w:val="20"/>
                <w:highlight w:val="none"/>
              </w:rPr>
              <w:br w:type="textWrapping"/>
            </w: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项号39.具有AI-ISP图像质量提升功能，在低照度环境下，可自动调节预览场景视频画面中人脸、人体、车辆等目标及预览场景视频画面的区域曝光、亮度、色彩饱和度、对比度、锐度等。</w:t>
            </w:r>
            <w:r>
              <w:rPr>
                <w:rFonts w:hint="eastAsia" w:ascii="宋体" w:hAnsi="宋体" w:eastAsia="宋体" w:cs="宋体"/>
                <w:b/>
                <w:bCs/>
                <w:color w:val="000000"/>
                <w:kern w:val="0"/>
                <w:sz w:val="20"/>
                <w:szCs w:val="20"/>
                <w:highlight w:val="none"/>
              </w:rPr>
              <w:t>（前述技术参数均须在投标文件中提供第三方检测机构出具的具有CMA或CNAS标识的有效检测报告复印件进行佐证)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项号40. 当智能分析行为类型为移动侦测，报警目标设置为人形时，仅当检测场景中出现人形时触发报警，在设定区域内出现以下情况时，不触发报警：光线明暗变化、篮球滚动、狗行走、树摇晃、旗帜飘动、车辆。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项号41. 当报警产生时，可触发联动声音报警。报警声音类型≥10 种，报警音量和重复次数可设置。 </w:t>
            </w:r>
          </w:p>
        </w:tc>
        <w:tc>
          <w:tcPr>
            <w:tcW w:w="0" w:type="auto"/>
            <w:vAlign w:val="center"/>
          </w:tcPr>
          <w:p w14:paraId="08B00CA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10</w:t>
            </w:r>
          </w:p>
        </w:tc>
        <w:tc>
          <w:tcPr>
            <w:tcW w:w="0" w:type="auto"/>
            <w:vAlign w:val="center"/>
          </w:tcPr>
          <w:p w14:paraId="64E32CF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7A4059E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25F8B2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5C9D54F7">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2.2</w:t>
            </w:r>
          </w:p>
        </w:tc>
        <w:tc>
          <w:tcPr>
            <w:tcW w:w="0" w:type="auto"/>
            <w:vAlign w:val="center"/>
          </w:tcPr>
          <w:p w14:paraId="1AD171AF">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监控存储节点</w:t>
            </w:r>
          </w:p>
        </w:tc>
        <w:tc>
          <w:tcPr>
            <w:tcW w:w="0" w:type="auto"/>
            <w:shd w:val="clear" w:color="000000" w:fill="FFFFFF"/>
            <w:vAlign w:val="center"/>
          </w:tcPr>
          <w:p w14:paraId="7002F3E7">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xml:space="preserve">项号42. 具有≥2个HDMI接口、≥2个VGA接口、≥2个RJ45千兆网络接口、≥2个USB2.0接口、≥2个USB3.0接口、≥1个RS232接口、≥1个RS485接口（可接入RS485键盘）；具有≥1路音频输入接口、≥2路音频输出接口，≥16路报警输入接口、≥4路报警输出接口；可内置≥16个SATA接口硬盘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项号43. 支持接入带宽≥384Mbps，存储带宽≥384Mbps，转发带宽≥256Mbps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项号44. 支持前端IPC证书二次校验机制，未通过证书校验的IPC不允许添加到NVR 。</w:t>
            </w:r>
            <w:r>
              <w:rPr>
                <w:rFonts w:hint="eastAsia" w:ascii="宋体" w:hAnsi="宋体" w:eastAsia="宋体" w:cs="宋体"/>
                <w:color w:val="000000"/>
                <w:kern w:val="0"/>
                <w:sz w:val="20"/>
                <w:szCs w:val="20"/>
                <w:highlight w:val="none"/>
              </w:rPr>
              <w:br w:type="textWrapping"/>
            </w: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项号45. 支持预览的单窗口轮巡，设备支持在多画面的固定窗口上进行轮巡预览，其他预览窗口不轮巡。（前述技术参数均须在投标文件中提供第三方检测机构出具的具有CMA或CNAS标识的有效检测报告复印件进行佐证)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项号46. 支持查看在线用户信息，包括用户名、用户类型、IP地址和用户最后操作时间等维护信息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项号47. 支持音视频动态调整组合分配功能，可将任一路音频与任一路视频组合成复合流编码；（前述技术参数均须在投标文件中提供第三方检测机构出具的具有CMA或CNAS标识的有效检测报告复印件进行佐证)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项号48. 支持网络端口扫描行为预警，可自动封禁IP，并上报预警，支持远程下发IP拦截；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项号49. 支持自动跳转https功能，设备启用自动跳转https功能后不支持http协议访问，http访问入口连接会自动重定向到https入口。（前述技术参数均须在投标文件中提供第三方检测机构出具的具有CMA或CNAS标识的有效检测报告复印件进行佐证)</w:t>
            </w:r>
          </w:p>
        </w:tc>
        <w:tc>
          <w:tcPr>
            <w:tcW w:w="0" w:type="auto"/>
            <w:vAlign w:val="center"/>
          </w:tcPr>
          <w:p w14:paraId="3C53E10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78EB8F0B">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7FDB9539">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161CAC5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50D95087">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2.3</w:t>
            </w:r>
          </w:p>
        </w:tc>
        <w:tc>
          <w:tcPr>
            <w:tcW w:w="0" w:type="auto"/>
            <w:vAlign w:val="center"/>
          </w:tcPr>
          <w:p w14:paraId="3BF32A81">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监控硬盘</w:t>
            </w:r>
          </w:p>
        </w:tc>
        <w:tc>
          <w:tcPr>
            <w:tcW w:w="0" w:type="auto"/>
            <w:shd w:val="clear" w:color="000000" w:fill="FFFFFF"/>
            <w:vAlign w:val="center"/>
          </w:tcPr>
          <w:p w14:paraId="7AB25A12">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项号50.≥12TB容量，3.5英寸，SATA接口，≥7200RPM</w:t>
            </w:r>
          </w:p>
        </w:tc>
        <w:tc>
          <w:tcPr>
            <w:tcW w:w="0" w:type="auto"/>
            <w:vAlign w:val="center"/>
          </w:tcPr>
          <w:p w14:paraId="2736621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7</w:t>
            </w:r>
          </w:p>
        </w:tc>
        <w:tc>
          <w:tcPr>
            <w:tcW w:w="0" w:type="auto"/>
            <w:vAlign w:val="center"/>
          </w:tcPr>
          <w:p w14:paraId="6C5F0338">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块</w:t>
            </w:r>
          </w:p>
        </w:tc>
        <w:tc>
          <w:tcPr>
            <w:tcW w:w="0" w:type="auto"/>
            <w:vAlign w:val="center"/>
          </w:tcPr>
          <w:p w14:paraId="140B71E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7082E52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650D4DA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w:t>
            </w:r>
          </w:p>
        </w:tc>
        <w:tc>
          <w:tcPr>
            <w:tcW w:w="0" w:type="auto"/>
            <w:vAlign w:val="center"/>
          </w:tcPr>
          <w:p w14:paraId="4A686EF5">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24口POE接入交换机</w:t>
            </w:r>
          </w:p>
        </w:tc>
        <w:tc>
          <w:tcPr>
            <w:tcW w:w="0" w:type="auto"/>
            <w:shd w:val="clear" w:color="000000" w:fill="FFFFFF"/>
            <w:vAlign w:val="center"/>
          </w:tcPr>
          <w:p w14:paraId="2CA7F46D">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项号51.交换容量≥432Gbps，包转发率≥51Mpps，固化10/100/1000M以太网电口≥24，1000M SFP千兆光接口≥4个；</w:t>
            </w:r>
          </w:p>
          <w:p w14:paraId="237599CD">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项号52.支持POE和POE+,同时可POE供电端口≥24个，POE输出功率≥370W，PoE满载下整机功耗≥403W</w:t>
            </w:r>
            <w:r>
              <w:rPr>
                <w:rFonts w:hint="eastAsia" w:ascii="宋体" w:hAnsi="宋体" w:eastAsia="宋体" w:cs="宋体"/>
                <w:color w:val="000000"/>
                <w:kern w:val="0"/>
                <w:sz w:val="20"/>
                <w:szCs w:val="20"/>
                <w:highlight w:val="none"/>
              </w:rPr>
              <w:br w:type="textWrapping"/>
            </w: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项号53.外壳机械碰撞防护≥IK05</w:t>
            </w:r>
            <w:r>
              <w:rPr>
                <w:rFonts w:ascii="宋体" w:hAnsi="宋体" w:eastAsia="宋体" w:cs="宋体"/>
                <w:color w:val="000000"/>
                <w:kern w:val="0"/>
                <w:sz w:val="20"/>
                <w:szCs w:val="20"/>
                <w:highlight w:val="none"/>
              </w:rPr>
              <w:t>；</w:t>
            </w:r>
            <w:r>
              <w:rPr>
                <w:rFonts w:hint="eastAsia" w:ascii="宋体" w:hAnsi="宋体" w:eastAsia="宋体" w:cs="宋体"/>
                <w:color w:val="000000"/>
                <w:kern w:val="0"/>
                <w:sz w:val="20"/>
                <w:szCs w:val="20"/>
                <w:highlight w:val="none"/>
              </w:rPr>
              <w:t>（前述技术参数均须在投标文件中提供第三方检测机构出具的具有CMA或CNAS标识的有效检测报告复印件进行佐证)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项号54.设备采用降噪设计，整机噪声≤39dB，提供官网截图和链接证明</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项号55.绿色节能：要求支持高效节能以太网特性。端口如果在连续一段时间之内空闲，系统会将该端口设置为节能模式，当有报文收发时再通过定时发送的监听码流唤醒端口恢复业务，达到节能的效果。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项号56.要求所投产品端口浪涌抗扰度≥10KV（即具备10KV的防雷能力），提供官网截图和链接证明</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项号57.支持专门针对CPU的保护机制，能够针对发往CPU处理的各种报文进行流区分和优先级队列分级处理，保护交换机在各种环境下稳定工作</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项号58.支持基础网络保护策略，能够限制用户向网络中发送ARP报文、ICMP请求报文、DHCP请求报文等数据包的数率，对超过限速阈值的报文进行丢弃处理，甚至能够识别攻击行为，对有攻击行为的用户进行隔离。</w:t>
            </w:r>
          </w:p>
        </w:tc>
        <w:tc>
          <w:tcPr>
            <w:tcW w:w="0" w:type="auto"/>
            <w:vAlign w:val="center"/>
          </w:tcPr>
          <w:p w14:paraId="719A1D6B">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40678ACE">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5F44E144">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511DA95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689D5E15">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2.5</w:t>
            </w:r>
          </w:p>
        </w:tc>
        <w:tc>
          <w:tcPr>
            <w:tcW w:w="0" w:type="auto"/>
            <w:vAlign w:val="center"/>
          </w:tcPr>
          <w:p w14:paraId="782F3AE5">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设备机柜（12U）</w:t>
            </w:r>
          </w:p>
        </w:tc>
        <w:tc>
          <w:tcPr>
            <w:tcW w:w="0" w:type="auto"/>
            <w:shd w:val="clear" w:color="000000" w:fill="FFFFFF"/>
            <w:vAlign w:val="center"/>
          </w:tcPr>
          <w:p w14:paraId="46F35947">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项号59.尺寸：≥</w:t>
            </w:r>
            <w:r>
              <w:rPr>
                <w:rFonts w:ascii="宋体" w:hAnsi="宋体" w:eastAsia="宋体" w:cs="宋体"/>
                <w:color w:val="000000"/>
                <w:kern w:val="0"/>
                <w:sz w:val="20"/>
                <w:szCs w:val="20"/>
                <w:highlight w:val="none"/>
              </w:rPr>
              <w:t>12U</w:t>
            </w:r>
            <w:r>
              <w:rPr>
                <w:rFonts w:hint="eastAsia" w:ascii="宋体" w:hAnsi="宋体" w:eastAsia="宋体" w:cs="宋体"/>
                <w:color w:val="000000"/>
                <w:kern w:val="0"/>
                <w:sz w:val="20"/>
                <w:szCs w:val="20"/>
                <w:highlight w:val="none"/>
              </w:rPr>
              <w:t>，安装尺寸：19英寸；</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项号60.材料为优质SPCC冷轧钢板，其中角规厚度： ≥1.2mm，侧板厚度≥1.0mm，其他主要部件厚度≥1.2mm；静态负载(Kg)：≥60，防护等级：≥IP20；</w:t>
            </w:r>
          </w:p>
          <w:p w14:paraId="00B4DCD4">
            <w:pPr>
              <w:widowControl/>
              <w:spacing w:line="240" w:lineRule="auto"/>
              <w:ind w:firstLine="0" w:firstLineChars="0"/>
              <w:jc w:val="left"/>
              <w:rPr>
                <w:rFonts w:hint="eastAsia" w:ascii="宋体" w:hAnsi="宋体" w:eastAsia="宋体" w:cs="宋体"/>
                <w:color w:val="000000"/>
                <w:kern w:val="0"/>
                <w:sz w:val="20"/>
                <w:szCs w:val="20"/>
                <w:highlight w:val="none"/>
              </w:rPr>
            </w:pP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项号61.内置隔离型防雷器，耐受冲击电流≥1KA，耐受冲击电压≥6KV。（前述技术参数均须在投标文件中提供第三方检测机构出具的具有CMA或CNAS标识的有效检测报告复印件进行佐证)</w:t>
            </w:r>
          </w:p>
        </w:tc>
        <w:tc>
          <w:tcPr>
            <w:tcW w:w="0" w:type="auto"/>
            <w:vAlign w:val="center"/>
          </w:tcPr>
          <w:p w14:paraId="358850F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4995C93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12548FC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3C674D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79F6C186">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w:t>
            </w:r>
          </w:p>
        </w:tc>
        <w:tc>
          <w:tcPr>
            <w:tcW w:w="0" w:type="auto"/>
            <w:vAlign w:val="center"/>
          </w:tcPr>
          <w:p w14:paraId="0A6B3E19">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智慧融合控制平台</w:t>
            </w:r>
          </w:p>
        </w:tc>
        <w:tc>
          <w:tcPr>
            <w:tcW w:w="0" w:type="auto"/>
            <w:shd w:val="clear" w:color="000000" w:fill="FFFFFF"/>
            <w:vAlign w:val="center"/>
          </w:tcPr>
          <w:p w14:paraId="4F3A07D8">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62.固定≥220V10A防脱落智能强电输出插座口≥8路，旁路输出插座≥1路，每路插座接口为新国标五孔插口，每路可扩展独立的无线控制开关，集成电源时序功能。可对每路输出的用电做分析；整机输出功率≥3.5KW，防雷防浪涌；</w:t>
            </w:r>
            <w:r>
              <w:rPr>
                <w:rFonts w:hint="eastAsia" w:ascii="宋体" w:hAnsi="宋体" w:eastAsia="宋体" w:cs="宋体"/>
                <w:color w:val="000000"/>
                <w:kern w:val="0"/>
                <w:sz w:val="20"/>
                <w:szCs w:val="20"/>
                <w:highlight w:val="none"/>
              </w:rPr>
              <w:br w:type="textWrapping"/>
            </w: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63.设备主机已集成智慧电能管理系统，支持电流、电压、功率以及温度的条件限定，实现设备对用电的过流、过压、过载、过温的实时保护，可实时本机查询各端口用电实时数据，实现所有输出线路的用电安全智能化管理；（前述技术参数均须在投标文件中提供第三方检测机构出具的具有CMA或CNAS标识的有效检测报告复印件进行佐证)</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000000"/>
                <w:kern w:val="0"/>
                <w:sz w:val="20"/>
                <w:szCs w:val="20"/>
                <w:highlight w:val="none"/>
              </w:rPr>
              <w:t xml:space="preserve">项号64.具备≥8个1000M以太网RJ45网络接口、≥1个SFP插槽、≥1路独立RJ45（用于485通讯）、≥1路TYPE-C接口、物联网IO口 ≥2个（提供该设备以上端口实物照片），可外接空调红外控制模块。可外接温度、湿度的采集模块，可外接智能插座红外遥控器控制； </w:t>
            </w:r>
          </w:p>
          <w:p w14:paraId="004BBD3E">
            <w:pPr>
              <w:widowControl/>
              <w:spacing w:line="240" w:lineRule="auto"/>
              <w:ind w:firstLine="0" w:firstLineChars="0"/>
              <w:jc w:val="left"/>
              <w:rPr>
                <w:rFonts w:hint="eastAsia" w:ascii="宋体" w:hAnsi="宋体" w:eastAsia="宋体" w:cs="宋体"/>
                <w:color w:val="000000"/>
                <w:kern w:val="0"/>
                <w:sz w:val="20"/>
                <w:szCs w:val="20"/>
                <w:highlight w:val="none"/>
              </w:rPr>
            </w:pP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项号65.输入电压监测：电压、电流、功率总阀值设置、≥8个智能插座电压、电流、功率的独立阀值设置; ≥8个智能插座端口阀值联动管理：电压、电流、功率阀值触发联动空调、智能断路器、智能照明控制系统的启停功能; 可查询接入设备运行日志功能、实时查询设备的用电情况：可以选择年月日时的电压、电流、功率及电能使用情况。（前述技术参数均须在投标文件中提供第三方检测机构出具的具有CMA或CNAS标识的有效检测报告复印件进行佐证)</w:t>
            </w:r>
          </w:p>
        </w:tc>
        <w:tc>
          <w:tcPr>
            <w:tcW w:w="0" w:type="auto"/>
            <w:vAlign w:val="center"/>
          </w:tcPr>
          <w:p w14:paraId="74A7A9D8">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5F2BB7C2">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台</w:t>
            </w:r>
          </w:p>
        </w:tc>
        <w:tc>
          <w:tcPr>
            <w:tcW w:w="0" w:type="auto"/>
            <w:vAlign w:val="center"/>
          </w:tcPr>
          <w:p w14:paraId="2B35721B">
            <w:pPr>
              <w:widowControl/>
              <w:spacing w:line="240" w:lineRule="auto"/>
              <w:ind w:firstLine="0" w:firstLineChars="0"/>
              <w:jc w:val="center"/>
              <w:rPr>
                <w:rFonts w:hint="eastAsia" w:ascii="宋体" w:hAnsi="宋体" w:eastAsia="宋体" w:cs="宋体"/>
                <w:color w:val="000000"/>
                <w:kern w:val="0"/>
                <w:sz w:val="20"/>
                <w:szCs w:val="20"/>
                <w:highlight w:val="none"/>
              </w:rPr>
            </w:pPr>
          </w:p>
        </w:tc>
      </w:tr>
      <w:tr w14:paraId="12969EF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621408BA">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2.7</w:t>
            </w:r>
          </w:p>
        </w:tc>
        <w:tc>
          <w:tcPr>
            <w:tcW w:w="0" w:type="auto"/>
            <w:vAlign w:val="center"/>
          </w:tcPr>
          <w:p w14:paraId="359FA562">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六类非屏蔽双绞线</w:t>
            </w:r>
          </w:p>
        </w:tc>
        <w:tc>
          <w:tcPr>
            <w:tcW w:w="0" w:type="auto"/>
            <w:shd w:val="clear" w:color="000000" w:fill="FFFFFF"/>
            <w:vAlign w:val="center"/>
          </w:tcPr>
          <w:p w14:paraId="489863F6">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项号66.最高传输频率≥250MHz，额定传输速率≥68%；</w:t>
            </w:r>
          </w:p>
          <w:p w14:paraId="193FB986">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项号67.线对采用“十”字骨架隔离，护套材料：PVC；</w:t>
            </w:r>
          </w:p>
          <w:p w14:paraId="3CBD0566">
            <w:pPr>
              <w:widowControl/>
              <w:spacing w:line="240" w:lineRule="auto"/>
              <w:ind w:firstLine="0" w:firstLineChars="0"/>
              <w:jc w:val="left"/>
              <w:rPr>
                <w:rFonts w:hint="eastAsia" w:ascii="宋体" w:hAnsi="宋体" w:eastAsia="宋体" w:cs="宋体"/>
                <w:color w:val="000000"/>
                <w:kern w:val="0"/>
                <w:sz w:val="20"/>
                <w:szCs w:val="20"/>
                <w:highlight w:val="none"/>
              </w:rPr>
            </w:pPr>
            <w:r>
              <w:rPr>
                <w:rFonts w:ascii="宋体" w:hAnsi="宋体" w:cs="宋体"/>
                <w:color w:val="000000" w:themeColor="text1"/>
                <w:kern w:val="0"/>
                <w:highlight w:val="none"/>
                <w14:textFill>
                  <w14:solidFill>
                    <w14:schemeClr w14:val="tx1"/>
                  </w14:solidFill>
                </w14:textFill>
              </w:rPr>
              <w:t>▲</w:t>
            </w:r>
            <w:r>
              <w:rPr>
                <w:rFonts w:hint="eastAsia" w:ascii="宋体" w:hAnsi="宋体" w:eastAsia="宋体" w:cs="宋体"/>
                <w:color w:val="000000"/>
                <w:kern w:val="0"/>
                <w:sz w:val="20"/>
                <w:szCs w:val="20"/>
                <w:highlight w:val="none"/>
              </w:rPr>
              <w:t>项号68.六类非屏蔽信道供电设备输出功率≥103W，终端设备输入功率≥90W，吞吐量满足双向≥1000Mbit/S，侦丢失率满足0.00%。（前述技术参数均须在投标文件中提供第三方检测机构出具的具有CMA或CNAS标识的有效检测报告复印件进行佐证)</w:t>
            </w:r>
          </w:p>
        </w:tc>
        <w:tc>
          <w:tcPr>
            <w:tcW w:w="0" w:type="auto"/>
            <w:vAlign w:val="center"/>
          </w:tcPr>
          <w:p w14:paraId="3A84EAFA">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w:t>
            </w:r>
          </w:p>
        </w:tc>
        <w:tc>
          <w:tcPr>
            <w:tcW w:w="0" w:type="auto"/>
            <w:vAlign w:val="center"/>
          </w:tcPr>
          <w:p w14:paraId="18375941">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箱</w:t>
            </w:r>
          </w:p>
        </w:tc>
        <w:tc>
          <w:tcPr>
            <w:tcW w:w="0" w:type="auto"/>
            <w:vAlign w:val="center"/>
          </w:tcPr>
          <w:p w14:paraId="1E67E3B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615FF36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375C72B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2.8</w:t>
            </w:r>
          </w:p>
        </w:tc>
        <w:tc>
          <w:tcPr>
            <w:tcW w:w="0" w:type="auto"/>
            <w:vAlign w:val="center"/>
          </w:tcPr>
          <w:p w14:paraId="70AAD224">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监控主干电源线</w:t>
            </w:r>
          </w:p>
        </w:tc>
        <w:tc>
          <w:tcPr>
            <w:tcW w:w="0" w:type="auto"/>
            <w:shd w:val="clear" w:color="000000" w:fill="FFFFFF"/>
            <w:vAlign w:val="center"/>
          </w:tcPr>
          <w:p w14:paraId="644C973A">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项号69.规格≥RVV3*1.5</w:t>
            </w:r>
          </w:p>
        </w:tc>
        <w:tc>
          <w:tcPr>
            <w:tcW w:w="0" w:type="auto"/>
            <w:vAlign w:val="center"/>
          </w:tcPr>
          <w:p w14:paraId="6952787D">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1</w:t>
            </w:r>
          </w:p>
        </w:tc>
        <w:tc>
          <w:tcPr>
            <w:tcW w:w="0" w:type="auto"/>
            <w:vAlign w:val="center"/>
          </w:tcPr>
          <w:p w14:paraId="1BE54D3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捆</w:t>
            </w:r>
          </w:p>
        </w:tc>
        <w:tc>
          <w:tcPr>
            <w:tcW w:w="0" w:type="auto"/>
            <w:vAlign w:val="center"/>
          </w:tcPr>
          <w:p w14:paraId="46D12AB3">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r w14:paraId="548DCC3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0" w:type="auto"/>
            <w:vAlign w:val="center"/>
          </w:tcPr>
          <w:p w14:paraId="390AE46F">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2.9</w:t>
            </w:r>
          </w:p>
        </w:tc>
        <w:tc>
          <w:tcPr>
            <w:tcW w:w="0" w:type="auto"/>
            <w:vAlign w:val="center"/>
          </w:tcPr>
          <w:p w14:paraId="71EA3A82">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PVC20管</w:t>
            </w:r>
          </w:p>
        </w:tc>
        <w:tc>
          <w:tcPr>
            <w:tcW w:w="0" w:type="auto"/>
            <w:shd w:val="clear" w:color="000000" w:fill="FFFFFF"/>
            <w:vAlign w:val="center"/>
          </w:tcPr>
          <w:p w14:paraId="41D3724E">
            <w:pPr>
              <w:widowControl/>
              <w:spacing w:line="240" w:lineRule="auto"/>
              <w:ind w:firstLine="0" w:firstLineChars="0"/>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项号70.规格≥DN20，材质PVC线管；</w:t>
            </w:r>
          </w:p>
        </w:tc>
        <w:tc>
          <w:tcPr>
            <w:tcW w:w="0" w:type="auto"/>
            <w:vAlign w:val="center"/>
          </w:tcPr>
          <w:p w14:paraId="67D4F586">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260</w:t>
            </w:r>
          </w:p>
        </w:tc>
        <w:tc>
          <w:tcPr>
            <w:tcW w:w="0" w:type="auto"/>
            <w:vAlign w:val="center"/>
          </w:tcPr>
          <w:p w14:paraId="6FDBF1B0">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米</w:t>
            </w:r>
          </w:p>
        </w:tc>
        <w:tc>
          <w:tcPr>
            <w:tcW w:w="0" w:type="auto"/>
            <w:vAlign w:val="center"/>
          </w:tcPr>
          <w:p w14:paraId="63D3EF3C">
            <w:pPr>
              <w:widowControl/>
              <w:spacing w:line="240" w:lineRule="auto"/>
              <w:ind w:firstLine="0" w:firstLineChars="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r>
    </w:tbl>
    <w:p w14:paraId="6F63BCFC">
      <w:pPr>
        <w:pStyle w:val="19"/>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sz w:val="28"/>
          <w:szCs w:val="28"/>
          <w:highlight w:val="none"/>
          <w:lang w:val="en-US" w:eastAsia="zh-CN"/>
        </w:rPr>
        <w:t>三、</w:t>
      </w:r>
      <w:r>
        <w:rPr>
          <w:rFonts w:hint="eastAsia" w:asciiTheme="majorEastAsia" w:hAnsiTheme="majorEastAsia" w:eastAsiaTheme="majorEastAsia" w:cstheme="majorEastAsia"/>
          <w:b/>
          <w:sz w:val="28"/>
          <w:szCs w:val="28"/>
          <w:highlight w:val="none"/>
        </w:rPr>
        <w:t>评分方式：</w:t>
      </w:r>
    </w:p>
    <w:p w14:paraId="4F5E0C80">
      <w:pPr>
        <w:spacing w:line="480" w:lineRule="exact"/>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①价格项（F1×A1）满分为30分。</w:t>
      </w:r>
    </w:p>
    <w:p w14:paraId="46B2B6B4">
      <w:pPr>
        <w:spacing w:line="480" w:lineRule="exact"/>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a.价格分采用低价优先法计算，即满足招标文件要求且投标价格最低的投标报价为评标基准价，其价格分为满分。其他投标人的价格分统一按照下列公式计算：投标报价得分=（评标基准价／投标报价）×100。因落实政府采购政策需进行价格扣除的，以扣除后的价格计算评标基准价和投标报价。</w:t>
      </w:r>
    </w:p>
    <w:p w14:paraId="7F626BC5">
      <w:pPr>
        <w:spacing w:line="480" w:lineRule="exact"/>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②技术项（F2×A2）满分为60分。</w:t>
      </w:r>
    </w:p>
    <w:tbl>
      <w:tblPr>
        <w:tblStyle w:val="22"/>
        <w:tblW w:w="8364"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1148"/>
        <w:gridCol w:w="606"/>
        <w:gridCol w:w="6610"/>
      </w:tblGrid>
      <w:tr w14:paraId="0F415D5E">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trPr>
        <w:tc>
          <w:tcPr>
            <w:tcW w:w="114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80313C7">
            <w:pPr>
              <w:spacing w:line="240" w:lineRule="auto"/>
              <w:ind w:firstLine="0" w:firstLineChars="0"/>
              <w:jc w:val="center"/>
              <w:rPr>
                <w:color w:val="000000"/>
                <w:highlight w:val="none"/>
              </w:rPr>
            </w:pPr>
            <w:r>
              <w:rPr>
                <w:color w:val="000000"/>
                <w:highlight w:val="none"/>
              </w:rPr>
              <w:t>评标项目</w:t>
            </w:r>
          </w:p>
        </w:tc>
        <w:tc>
          <w:tcPr>
            <w:tcW w:w="60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91AAB42">
            <w:pPr>
              <w:spacing w:line="240" w:lineRule="auto"/>
              <w:ind w:firstLine="0" w:firstLineChars="0"/>
              <w:jc w:val="center"/>
              <w:rPr>
                <w:color w:val="000000"/>
                <w:highlight w:val="none"/>
              </w:rPr>
            </w:pPr>
            <w:r>
              <w:rPr>
                <w:color w:val="000000"/>
                <w:highlight w:val="none"/>
              </w:rPr>
              <w:t>评标分值</w:t>
            </w:r>
          </w:p>
        </w:tc>
        <w:tc>
          <w:tcPr>
            <w:tcW w:w="661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F28E761">
            <w:pPr>
              <w:spacing w:line="240" w:lineRule="auto"/>
              <w:ind w:firstLine="0" w:firstLineChars="0"/>
              <w:jc w:val="center"/>
              <w:rPr>
                <w:color w:val="000000"/>
                <w:highlight w:val="none"/>
              </w:rPr>
            </w:pPr>
            <w:r>
              <w:rPr>
                <w:color w:val="000000"/>
                <w:highlight w:val="none"/>
              </w:rPr>
              <w:t>评标方法描述</w:t>
            </w:r>
          </w:p>
        </w:tc>
      </w:tr>
      <w:tr w14:paraId="4E1DD3F4">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4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59A78CA1">
            <w:pPr>
              <w:pStyle w:val="54"/>
              <w:spacing w:before="120" w:after="12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技术和服务要求响应情况</w:t>
            </w:r>
          </w:p>
        </w:tc>
        <w:tc>
          <w:tcPr>
            <w:tcW w:w="60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BCAE025">
            <w:pPr>
              <w:pStyle w:val="54"/>
              <w:spacing w:before="120" w:after="12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54</w:t>
            </w:r>
          </w:p>
        </w:tc>
        <w:tc>
          <w:tcPr>
            <w:tcW w:w="6610"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105B540">
            <w:pPr>
              <w:pStyle w:val="54"/>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评委根据投标人对第五章招标内容及要求中“二、技术和服务要求”的逐项响应承诺情况进行评分（需提供技术和服务要求响应表），投标人所投产品全部满足招标文件第五章招标内容及要求中“技术和服务要求”的得</w:t>
            </w:r>
            <w:r>
              <w:rPr>
                <w:rFonts w:hint="eastAsia" w:ascii="宋体" w:hAnsi="宋体" w:cs="宋体"/>
                <w:color w:val="000000" w:themeColor="text1"/>
                <w:kern w:val="0"/>
                <w:sz w:val="24"/>
                <w:highlight w:val="none"/>
                <w14:textFill>
                  <w14:solidFill>
                    <w14:schemeClr w14:val="tx1"/>
                  </w14:solidFill>
                </w14:textFill>
              </w:rPr>
              <w:t>54</w:t>
            </w:r>
            <w:r>
              <w:rPr>
                <w:rFonts w:ascii="宋体" w:hAnsi="宋体" w:cs="宋体"/>
                <w:color w:val="000000" w:themeColor="text1"/>
                <w:kern w:val="0"/>
                <w:sz w:val="24"/>
                <w:highlight w:val="none"/>
                <w14:textFill>
                  <w14:solidFill>
                    <w14:schemeClr w14:val="tx1"/>
                  </w14:solidFill>
                </w14:textFill>
              </w:rPr>
              <w:t>分；其中：</w:t>
            </w:r>
          </w:p>
          <w:p w14:paraId="53070881">
            <w:pPr>
              <w:pStyle w:val="54"/>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（1）标注“★”号的技术参数为不允许负偏离的实质性条款，出现负偏离按无效投标处理</w:t>
            </w:r>
            <w:r>
              <w:rPr>
                <w:rFonts w:hint="eastAsia" w:ascii="宋体" w:hAnsi="宋体" w:cs="宋体"/>
                <w:color w:val="000000" w:themeColor="text1"/>
                <w:kern w:val="0"/>
                <w:sz w:val="24"/>
                <w:highlight w:val="none"/>
                <w14:textFill>
                  <w14:solidFill>
                    <w14:schemeClr w14:val="tx1"/>
                  </w14:solidFill>
                </w14:textFill>
              </w:rPr>
              <w:t>；</w:t>
            </w:r>
          </w:p>
          <w:p w14:paraId="4FDE15CE">
            <w:pPr>
              <w:pStyle w:val="54"/>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（2）标注“▲”号的技术参数全部满足招标文件要求的得30分，每负偏离一项扣3分（共计10项）；</w:t>
            </w:r>
          </w:p>
          <w:p w14:paraId="15F75615">
            <w:pPr>
              <w:pStyle w:val="54"/>
              <w:rPr>
                <w:rFonts w:hint="eastAsia"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（3）其余未标注符号的技术参数，以每个项号为一项，每个项号内任意参数出现负偏离，视为整项负偏离，全部满足招标文件要求的得2</w:t>
            </w:r>
            <w:r>
              <w:rPr>
                <w:rFonts w:hint="eastAsia" w:ascii="宋体" w:hAnsi="宋体" w:cs="宋体"/>
                <w:color w:val="000000" w:themeColor="text1"/>
                <w:kern w:val="0"/>
                <w:sz w:val="24"/>
                <w:highlight w:val="none"/>
                <w14:textFill>
                  <w14:solidFill>
                    <w14:schemeClr w14:val="tx1"/>
                  </w14:solidFill>
                </w14:textFill>
              </w:rPr>
              <w:t>4</w:t>
            </w:r>
            <w:r>
              <w:rPr>
                <w:rFonts w:ascii="宋体" w:hAnsi="宋体" w:cs="宋体"/>
                <w:color w:val="000000" w:themeColor="text1"/>
                <w:kern w:val="0"/>
                <w:sz w:val="24"/>
                <w:highlight w:val="none"/>
                <w14:textFill>
                  <w14:solidFill>
                    <w14:schemeClr w14:val="tx1"/>
                  </w14:solidFill>
                </w14:textFill>
              </w:rPr>
              <w:t>分，每负偏离一项扣</w:t>
            </w:r>
            <w:r>
              <w:rPr>
                <w:rFonts w:hint="eastAsia" w:ascii="宋体" w:hAnsi="宋体" w:cs="宋体"/>
                <w:kern w:val="0"/>
                <w:sz w:val="24"/>
                <w:highlight w:val="none"/>
              </w:rPr>
              <w:t>0.</w:t>
            </w:r>
            <w:r>
              <w:rPr>
                <w:rFonts w:ascii="宋体" w:hAnsi="宋体" w:cs="宋体"/>
                <w:kern w:val="0"/>
                <w:sz w:val="24"/>
                <w:highlight w:val="none"/>
              </w:rPr>
              <w:t>4分（共计6</w:t>
            </w:r>
            <w:r>
              <w:rPr>
                <w:rFonts w:hint="eastAsia" w:ascii="宋体" w:hAnsi="宋体" w:cs="宋体"/>
                <w:kern w:val="0"/>
                <w:sz w:val="24"/>
                <w:highlight w:val="none"/>
              </w:rPr>
              <w:t>0</w:t>
            </w:r>
            <w:r>
              <w:rPr>
                <w:rFonts w:ascii="宋体" w:hAnsi="宋体" w:cs="宋体"/>
                <w:kern w:val="0"/>
                <w:sz w:val="24"/>
                <w:highlight w:val="none"/>
              </w:rPr>
              <w:t>项）</w:t>
            </w:r>
            <w:r>
              <w:rPr>
                <w:rFonts w:hint="eastAsia" w:ascii="宋体" w:hAnsi="宋体" w:cs="宋体"/>
                <w:color w:val="000000" w:themeColor="text1"/>
                <w:kern w:val="0"/>
                <w:sz w:val="24"/>
                <w:highlight w:val="none"/>
                <w14:textFill>
                  <w14:solidFill>
                    <w14:schemeClr w14:val="tx1"/>
                  </w14:solidFill>
                </w14:textFill>
              </w:rPr>
              <w:t>；</w:t>
            </w:r>
          </w:p>
          <w:p w14:paraId="4CAE19BA">
            <w:pPr>
              <w:pStyle w:val="54"/>
              <w:rPr>
                <w:rFonts w:hint="eastAsia" w:ascii="宋体" w:hAnsi="宋体" w:cs="宋体"/>
                <w:kern w:val="0"/>
                <w:sz w:val="24"/>
                <w:highlight w:val="none"/>
              </w:rPr>
            </w:pPr>
            <w:r>
              <w:rPr>
                <w:rFonts w:ascii="宋体" w:hAnsi="宋体" w:cs="宋体"/>
                <w:color w:val="000000" w:themeColor="text1"/>
                <w:kern w:val="0"/>
                <w:sz w:val="24"/>
                <w:highlight w:val="none"/>
                <w14:textFill>
                  <w14:solidFill>
                    <w14:schemeClr w14:val="tx1"/>
                  </w14:solidFill>
                </w14:textFill>
              </w:rPr>
              <w:t>（4）正偏离不加分，负偏离按以上评审标准进行评审，负偏离采取扣分的，分值扣完为止。投标服务的负偏离情况须在《技术和服务要求响应表》中列明，否则视为无效投标</w:t>
            </w:r>
            <w:r>
              <w:rPr>
                <w:rFonts w:hint="eastAsia" w:ascii="宋体" w:hAnsi="宋体" w:cs="宋体"/>
                <w:color w:val="000000" w:themeColor="text1"/>
                <w:kern w:val="0"/>
                <w:sz w:val="24"/>
                <w:highlight w:val="none"/>
                <w14:textFill>
                  <w14:solidFill>
                    <w14:schemeClr w14:val="tx1"/>
                  </w14:solidFill>
                </w14:textFill>
              </w:rPr>
              <w:t>。</w:t>
            </w:r>
          </w:p>
        </w:tc>
      </w:tr>
      <w:tr w14:paraId="28D452B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rHeight w:val="1967" w:hRule="atLeast"/>
        </w:trPr>
        <w:tc>
          <w:tcPr>
            <w:tcW w:w="114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9591A3E">
            <w:pPr>
              <w:pStyle w:val="54"/>
              <w:spacing w:before="120" w:after="1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施工组织方案</w:t>
            </w:r>
          </w:p>
        </w:tc>
        <w:tc>
          <w:tcPr>
            <w:tcW w:w="60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A50BE3A">
            <w:pPr>
              <w:pStyle w:val="54"/>
              <w:spacing w:before="120" w:after="12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6610" w:type="dxa"/>
            <w:tcBorders>
              <w:top w:val="single" w:color="666666" w:sz="6" w:space="0"/>
              <w:left w:val="single" w:color="666666" w:sz="6" w:space="0"/>
              <w:bottom w:val="single" w:color="666666" w:sz="6" w:space="0"/>
              <w:right w:val="single" w:color="666666" w:sz="6" w:space="0"/>
            </w:tcBorders>
            <w:shd w:val="clear" w:color="auto" w:fill="FFFFFF"/>
          </w:tcPr>
          <w:p w14:paraId="269E7AA8">
            <w:pPr>
              <w:pStyle w:val="54"/>
              <w:spacing w:before="120" w:after="1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根据投标人针对本项目的实际情况编制项目施工组织方案（包含：组织机构、项目进度计划与质量控制、项目配置管理及项目风险管理，共三个部分）进行评分，</w:t>
            </w:r>
            <w:r>
              <w:rPr>
                <w:rFonts w:ascii="宋体" w:hAnsi="宋体" w:cs="宋体"/>
                <w:color w:val="000000" w:themeColor="text1"/>
                <w:kern w:val="0"/>
                <w:sz w:val="24"/>
                <w:highlight w:val="none"/>
                <w14:textFill>
                  <w14:solidFill>
                    <w14:schemeClr w14:val="tx1"/>
                  </w14:solidFill>
                </w14:textFill>
              </w:rPr>
              <w:t>方案阐述完整，描述细致，包含上述</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个完整分项内容的得</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分，方案阐述较为完整，包含上述</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个完整分项内容的得</w:t>
            </w: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.7</w:t>
            </w:r>
            <w:r>
              <w:rPr>
                <w:rFonts w:ascii="宋体" w:hAnsi="宋体" w:cs="宋体"/>
                <w:color w:val="000000" w:themeColor="text1"/>
                <w:kern w:val="0"/>
                <w:sz w:val="24"/>
                <w:highlight w:val="none"/>
                <w14:textFill>
                  <w14:solidFill>
                    <w14:schemeClr w14:val="tx1"/>
                  </w14:solidFill>
                </w14:textFill>
              </w:rPr>
              <w:t>分，方案阐述较为</w:t>
            </w:r>
            <w:r>
              <w:rPr>
                <w:rFonts w:hint="eastAsia" w:ascii="宋体" w:hAnsi="宋体" w:cs="宋体"/>
                <w:color w:val="000000" w:themeColor="text1"/>
                <w:kern w:val="0"/>
                <w:sz w:val="24"/>
                <w:highlight w:val="none"/>
                <w14:textFill>
                  <w14:solidFill>
                    <w14:schemeClr w14:val="tx1"/>
                  </w14:solidFill>
                </w14:textFill>
              </w:rPr>
              <w:t>一般</w:t>
            </w:r>
            <w:r>
              <w:rPr>
                <w:rFonts w:ascii="宋体" w:hAnsi="宋体" w:cs="宋体"/>
                <w:color w:val="000000" w:themeColor="text1"/>
                <w:kern w:val="0"/>
                <w:sz w:val="24"/>
                <w:highlight w:val="none"/>
                <w14:textFill>
                  <w14:solidFill>
                    <w14:schemeClr w14:val="tx1"/>
                  </w14:solidFill>
                </w14:textFill>
              </w:rPr>
              <w:t>，包含上述</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个完整分项内容的得</w:t>
            </w:r>
            <w:r>
              <w:rPr>
                <w:rFonts w:hint="eastAsia" w:ascii="宋体" w:hAnsi="宋体" w:cs="宋体"/>
                <w:color w:val="000000" w:themeColor="text1"/>
                <w:kern w:val="0"/>
                <w:sz w:val="24"/>
                <w:highlight w:val="none"/>
                <w:lang w:val="en-US" w:eastAsia="zh-CN"/>
                <w14:textFill>
                  <w14:solidFill>
                    <w14:schemeClr w14:val="tx1"/>
                  </w14:solidFill>
                </w14:textFill>
              </w:rPr>
              <w:t>2.4</w:t>
            </w:r>
            <w:r>
              <w:rPr>
                <w:rFonts w:ascii="宋体" w:hAnsi="宋体" w:cs="宋体"/>
                <w:color w:val="000000" w:themeColor="text1"/>
                <w:kern w:val="0"/>
                <w:sz w:val="24"/>
                <w:highlight w:val="none"/>
                <w14:textFill>
                  <w14:solidFill>
                    <w14:schemeClr w14:val="tx1"/>
                  </w14:solidFill>
                </w14:textFill>
              </w:rPr>
              <w:t>分，未提供</w:t>
            </w:r>
            <w:r>
              <w:rPr>
                <w:rFonts w:hint="eastAsia" w:ascii="宋体" w:hAnsi="宋体" w:cs="宋体"/>
                <w:color w:val="000000" w:themeColor="text1"/>
                <w:kern w:val="0"/>
                <w:sz w:val="24"/>
                <w:highlight w:val="non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施工组织方案</w:t>
            </w:r>
            <w:r>
              <w:rPr>
                <w:rFonts w:ascii="宋体" w:hAnsi="宋体" w:cs="宋体"/>
                <w:color w:val="000000" w:themeColor="text1"/>
                <w:kern w:val="0"/>
                <w:sz w:val="24"/>
                <w:highlight w:val="none"/>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本项不得分</w:t>
            </w:r>
            <w:r>
              <w:rPr>
                <w:rFonts w:ascii="宋体" w:hAnsi="宋体" w:cs="宋体"/>
                <w:color w:val="000000" w:themeColor="text1"/>
                <w:kern w:val="0"/>
                <w:sz w:val="24"/>
                <w:highlight w:val="none"/>
                <w14:textFill>
                  <w14:solidFill>
                    <w14:schemeClr w14:val="tx1"/>
                  </w14:solidFill>
                </w14:textFill>
              </w:rPr>
              <w:t>。</w:t>
            </w:r>
          </w:p>
        </w:tc>
      </w:tr>
      <w:tr w14:paraId="3950795F">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c>
          <w:tcPr>
            <w:tcW w:w="1148"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4767F49">
            <w:pPr>
              <w:pStyle w:val="54"/>
              <w:spacing w:before="120" w:after="1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资源供应计划</w:t>
            </w:r>
          </w:p>
        </w:tc>
        <w:tc>
          <w:tcPr>
            <w:tcW w:w="60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0FE0BEF">
            <w:pPr>
              <w:pStyle w:val="54"/>
              <w:spacing w:before="120" w:after="120"/>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6610" w:type="dxa"/>
            <w:tcBorders>
              <w:top w:val="single" w:color="666666" w:sz="6" w:space="0"/>
              <w:left w:val="single" w:color="666666" w:sz="6" w:space="0"/>
              <w:bottom w:val="single" w:color="666666" w:sz="6" w:space="0"/>
              <w:right w:val="single" w:color="666666" w:sz="6" w:space="0"/>
            </w:tcBorders>
            <w:shd w:val="clear" w:color="auto" w:fill="FFFFFF"/>
          </w:tcPr>
          <w:p w14:paraId="2D1C7F68">
            <w:pPr>
              <w:pStyle w:val="54"/>
              <w:spacing w:before="120" w:after="120"/>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根据投标人针对本项目制定的资源供应计划情况（包含：针对本项目所涉及的劳动力供应计划；机械、设备、辅材、线缆的供应计划；资源管理计划、资源供应保障措施；共三部分）进行评分，</w:t>
            </w:r>
            <w:r>
              <w:rPr>
                <w:rFonts w:ascii="宋体" w:hAnsi="宋体" w:cs="宋体"/>
                <w:color w:val="000000" w:themeColor="text1"/>
                <w:kern w:val="0"/>
                <w:sz w:val="24"/>
                <w:highlight w:val="none"/>
                <w14:textFill>
                  <w14:solidFill>
                    <w14:schemeClr w14:val="tx1"/>
                  </w14:solidFill>
                </w14:textFill>
              </w:rPr>
              <w:t>方案阐述完整，描述细致，包含上述</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个完整分项内容的得</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分，方案阐述较为完整，包含上述</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个完整分项内容的得</w:t>
            </w:r>
            <w:r>
              <w:rPr>
                <w:rFonts w:hint="eastAsia" w:ascii="宋体" w:hAnsi="宋体" w:cs="宋体"/>
                <w:color w:val="000000" w:themeColor="text1"/>
                <w:kern w:val="0"/>
                <w:sz w:val="24"/>
                <w:highlight w:val="none"/>
                <w14:textFill>
                  <w14:solidFill>
                    <w14:schemeClr w14:val="tx1"/>
                  </w14:solidFill>
                </w14:textFill>
              </w:rPr>
              <w:t>2</w:t>
            </w:r>
            <w:r>
              <w:rPr>
                <w:rFonts w:hint="eastAsia" w:ascii="宋体" w:hAnsi="宋体" w:cs="宋体"/>
                <w:color w:val="000000" w:themeColor="text1"/>
                <w:kern w:val="0"/>
                <w:sz w:val="24"/>
                <w:highlight w:val="none"/>
                <w:lang w:val="en-US" w:eastAsia="zh-CN"/>
                <w14:textFill>
                  <w14:solidFill>
                    <w14:schemeClr w14:val="tx1"/>
                  </w14:solidFill>
                </w14:textFill>
              </w:rPr>
              <w:t>.7</w:t>
            </w:r>
            <w:r>
              <w:rPr>
                <w:rFonts w:ascii="宋体" w:hAnsi="宋体" w:cs="宋体"/>
                <w:color w:val="000000" w:themeColor="text1"/>
                <w:kern w:val="0"/>
                <w:sz w:val="24"/>
                <w:highlight w:val="none"/>
                <w14:textFill>
                  <w14:solidFill>
                    <w14:schemeClr w14:val="tx1"/>
                  </w14:solidFill>
                </w14:textFill>
              </w:rPr>
              <w:t>分，方案阐述较为</w:t>
            </w:r>
            <w:r>
              <w:rPr>
                <w:rFonts w:hint="eastAsia" w:ascii="宋体" w:hAnsi="宋体" w:cs="宋体"/>
                <w:color w:val="000000" w:themeColor="text1"/>
                <w:kern w:val="0"/>
                <w:sz w:val="24"/>
                <w:highlight w:val="none"/>
                <w14:textFill>
                  <w14:solidFill>
                    <w14:schemeClr w14:val="tx1"/>
                  </w14:solidFill>
                </w14:textFill>
              </w:rPr>
              <w:t>一般</w:t>
            </w:r>
            <w:r>
              <w:rPr>
                <w:rFonts w:ascii="宋体" w:hAnsi="宋体" w:cs="宋体"/>
                <w:color w:val="000000" w:themeColor="text1"/>
                <w:kern w:val="0"/>
                <w:sz w:val="24"/>
                <w:highlight w:val="none"/>
                <w14:textFill>
                  <w14:solidFill>
                    <w14:schemeClr w14:val="tx1"/>
                  </w14:solidFill>
                </w14:textFill>
              </w:rPr>
              <w:t>，包含上述</w:t>
            </w:r>
            <w:r>
              <w:rPr>
                <w:rFonts w:hint="eastAsia" w:ascii="宋体" w:hAnsi="宋体" w:cs="宋体"/>
                <w:color w:val="000000" w:themeColor="text1"/>
                <w:kern w:val="0"/>
                <w:sz w:val="24"/>
                <w:highlight w:val="none"/>
                <w14:textFill>
                  <w14:solidFill>
                    <w14:schemeClr w14:val="tx1"/>
                  </w14:solidFill>
                </w14:textFill>
              </w:rPr>
              <w:t>3</w:t>
            </w:r>
            <w:r>
              <w:rPr>
                <w:rFonts w:ascii="宋体" w:hAnsi="宋体" w:cs="宋体"/>
                <w:color w:val="000000" w:themeColor="text1"/>
                <w:kern w:val="0"/>
                <w:sz w:val="24"/>
                <w:highlight w:val="none"/>
                <w14:textFill>
                  <w14:solidFill>
                    <w14:schemeClr w14:val="tx1"/>
                  </w14:solidFill>
                </w14:textFill>
              </w:rPr>
              <w:t>个完整分项内容的得</w:t>
            </w:r>
            <w:r>
              <w:rPr>
                <w:rFonts w:hint="eastAsia" w:ascii="宋体" w:hAnsi="宋体" w:cs="宋体"/>
                <w:color w:val="000000" w:themeColor="text1"/>
                <w:kern w:val="0"/>
                <w:sz w:val="24"/>
                <w:highlight w:val="none"/>
                <w:lang w:val="en-US" w:eastAsia="zh-CN"/>
                <w14:textFill>
                  <w14:solidFill>
                    <w14:schemeClr w14:val="tx1"/>
                  </w14:solidFill>
                </w14:textFill>
              </w:rPr>
              <w:t>2.4</w:t>
            </w:r>
            <w:r>
              <w:rPr>
                <w:rFonts w:ascii="宋体" w:hAnsi="宋体" w:cs="宋体"/>
                <w:color w:val="000000" w:themeColor="text1"/>
                <w:kern w:val="0"/>
                <w:sz w:val="24"/>
                <w:highlight w:val="none"/>
                <w14:textFill>
                  <w14:solidFill>
                    <w14:schemeClr w14:val="tx1"/>
                  </w14:solidFill>
                </w14:textFill>
              </w:rPr>
              <w:t>分，未提供</w:t>
            </w:r>
            <w:r>
              <w:rPr>
                <w:rFonts w:hint="eastAsia" w:ascii="宋体" w:hAnsi="宋体" w:cs="宋体"/>
                <w:color w:val="000000" w:themeColor="text1"/>
                <w:kern w:val="0"/>
                <w:sz w:val="24"/>
                <w:highlight w:val="non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施工组织方案</w:t>
            </w:r>
            <w:r>
              <w:rPr>
                <w:rFonts w:ascii="宋体" w:hAnsi="宋体" w:cs="宋体"/>
                <w:color w:val="000000" w:themeColor="text1"/>
                <w:kern w:val="0"/>
                <w:sz w:val="24"/>
                <w:highlight w:val="none"/>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本项不得分</w:t>
            </w:r>
            <w:r>
              <w:rPr>
                <w:rFonts w:ascii="宋体" w:hAnsi="宋体" w:cs="宋体"/>
                <w:color w:val="000000" w:themeColor="text1"/>
                <w:kern w:val="0"/>
                <w:sz w:val="24"/>
                <w:highlight w:val="none"/>
                <w14:textFill>
                  <w14:solidFill>
                    <w14:schemeClr w14:val="tx1"/>
                  </w14:solidFill>
                </w14:textFill>
              </w:rPr>
              <w:t>。</w:t>
            </w:r>
          </w:p>
        </w:tc>
      </w:tr>
    </w:tbl>
    <w:p w14:paraId="464A348F">
      <w:pPr>
        <w:spacing w:line="480" w:lineRule="exact"/>
        <w:rPr>
          <w:rFonts w:hint="eastAsia" w:asciiTheme="majorEastAsia" w:hAnsiTheme="majorEastAsia" w:eastAsiaTheme="majorEastAsia" w:cstheme="majorEastAsia"/>
          <w:b w:val="0"/>
          <w:bCs/>
          <w:sz w:val="24"/>
          <w:szCs w:val="24"/>
          <w:highlight w:val="none"/>
          <w:lang w:val="en-US" w:eastAsia="zh-CN"/>
        </w:rPr>
      </w:pPr>
      <w:r>
        <w:rPr>
          <w:rFonts w:hint="eastAsia" w:asciiTheme="majorEastAsia" w:hAnsiTheme="majorEastAsia" w:eastAsiaTheme="majorEastAsia" w:cstheme="majorEastAsia"/>
          <w:b w:val="0"/>
          <w:bCs/>
          <w:sz w:val="24"/>
          <w:szCs w:val="24"/>
          <w:highlight w:val="none"/>
          <w:lang w:val="en-US" w:eastAsia="zh-CN"/>
        </w:rPr>
        <w:t>③商务项（F3×A3）满分为10分。</w:t>
      </w:r>
    </w:p>
    <w:tbl>
      <w:tblPr>
        <w:tblStyle w:val="22"/>
        <w:tblW w:w="8365" w:type="dxa"/>
        <w:tblInd w:w="0" w:type="dxa"/>
        <w:tblBorders>
          <w:top w:val="none" w:color="666666" w:sz="6" w:space="0"/>
          <w:left w:val="none" w:color="666666" w:sz="6" w:space="0"/>
          <w:bottom w:val="none" w:color="666666" w:sz="6" w:space="0"/>
          <w:right w:val="none" w:color="666666" w:sz="6" w:space="0"/>
          <w:insideH w:val="none" w:color="auto" w:sz="0" w:space="0"/>
          <w:insideV w:val="none" w:color="auto" w:sz="0" w:space="0"/>
        </w:tblBorders>
        <w:tblLayout w:type="fixed"/>
        <w:tblCellMar>
          <w:top w:w="0" w:type="dxa"/>
          <w:left w:w="0" w:type="dxa"/>
          <w:bottom w:w="0" w:type="dxa"/>
          <w:right w:w="0" w:type="dxa"/>
        </w:tblCellMar>
      </w:tblPr>
      <w:tblGrid>
        <w:gridCol w:w="1126"/>
        <w:gridCol w:w="567"/>
        <w:gridCol w:w="6672"/>
      </w:tblGrid>
      <w:tr w14:paraId="02C3DF4A">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rPr>
          <w:tblHeader/>
        </w:trPr>
        <w:tc>
          <w:tcPr>
            <w:tcW w:w="11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C1DAA86">
            <w:pPr>
              <w:spacing w:line="240" w:lineRule="auto"/>
              <w:ind w:firstLine="0" w:firstLineChars="0"/>
              <w:jc w:val="center"/>
              <w:rPr>
                <w:color w:val="000000"/>
                <w:highlight w:val="none"/>
              </w:rPr>
            </w:pPr>
            <w:r>
              <w:rPr>
                <w:color w:val="000000"/>
                <w:highlight w:val="none"/>
              </w:rPr>
              <w:t>评标项目</w:t>
            </w:r>
          </w:p>
        </w:tc>
        <w:tc>
          <w:tcPr>
            <w:tcW w:w="56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923C43A">
            <w:pPr>
              <w:spacing w:line="240" w:lineRule="auto"/>
              <w:ind w:firstLine="0" w:firstLineChars="0"/>
              <w:jc w:val="center"/>
              <w:rPr>
                <w:color w:val="000000"/>
                <w:highlight w:val="none"/>
              </w:rPr>
            </w:pPr>
            <w:r>
              <w:rPr>
                <w:color w:val="000000"/>
                <w:highlight w:val="none"/>
              </w:rPr>
              <w:t>评标分值</w:t>
            </w:r>
          </w:p>
        </w:tc>
        <w:tc>
          <w:tcPr>
            <w:tcW w:w="667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C2BAE21">
            <w:pPr>
              <w:spacing w:line="240" w:lineRule="auto"/>
              <w:ind w:firstLine="0" w:firstLineChars="0"/>
              <w:jc w:val="center"/>
              <w:rPr>
                <w:color w:val="000000"/>
                <w:highlight w:val="none"/>
              </w:rPr>
            </w:pPr>
            <w:r>
              <w:rPr>
                <w:color w:val="000000"/>
                <w:highlight w:val="none"/>
              </w:rPr>
              <w:t>评标方法描述</w:t>
            </w:r>
          </w:p>
        </w:tc>
      </w:tr>
      <w:tr w14:paraId="1C782F33">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c>
          <w:tcPr>
            <w:tcW w:w="11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F0A96A0">
            <w:pPr>
              <w:ind w:firstLine="0" w:firstLineChars="0"/>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培训方案</w:t>
            </w:r>
          </w:p>
        </w:tc>
        <w:tc>
          <w:tcPr>
            <w:tcW w:w="56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44134F7">
            <w:pPr>
              <w:ind w:firstLine="0" w:firstLineChars="0"/>
              <w:jc w:val="center"/>
              <w:rPr>
                <w:highlight w:val="none"/>
              </w:rPr>
            </w:pPr>
            <w:r>
              <w:rPr>
                <w:rFonts w:ascii="宋体" w:hAnsi="宋体" w:cs="宋体"/>
                <w:kern w:val="0"/>
                <w:highlight w:val="none"/>
                <w:lang w:bidi="ar"/>
              </w:rPr>
              <w:t>3</w:t>
            </w:r>
          </w:p>
        </w:tc>
        <w:tc>
          <w:tcPr>
            <w:tcW w:w="667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0499D475">
            <w:pPr>
              <w:spacing w:line="240" w:lineRule="auto"/>
              <w:ind w:firstLine="0" w:firstLineChars="0"/>
              <w:rPr>
                <w:rFonts w:hint="eastAsia" w:asciiTheme="minorEastAsia" w:hAnsiTheme="minorEastAsia" w:cstheme="minorEastAsia"/>
                <w:highlight w:val="none"/>
              </w:rPr>
            </w:pPr>
            <w:r>
              <w:rPr>
                <w:rFonts w:hint="eastAsia" w:ascii="宋体" w:hAnsi="宋体" w:eastAsia="宋体" w:cs="宋体"/>
                <w:kern w:val="0"/>
                <w:szCs w:val="24"/>
                <w:highlight w:val="none"/>
              </w:rPr>
              <w:t>各投标人需提供针对本次项目的整体培训方案，（包含：①培训目标、②培训对象要求、③培训方式、</w:t>
            </w:r>
            <w:r>
              <w:rPr>
                <w:rFonts w:ascii="宋体" w:hAnsi="宋体" w:eastAsia="宋体" w:cs="宋体"/>
                <w:kern w:val="0"/>
                <w:szCs w:val="24"/>
                <w:highlight w:val="none"/>
              </w:rPr>
              <w:t>④</w:t>
            </w:r>
            <w:r>
              <w:rPr>
                <w:rFonts w:hint="eastAsia" w:ascii="宋体" w:hAnsi="宋体" w:eastAsia="宋体" w:cs="宋体"/>
                <w:kern w:val="0"/>
                <w:szCs w:val="24"/>
                <w:highlight w:val="none"/>
              </w:rPr>
              <w:t>培训材料准备、⑤培训计划内容、⑥培训保障措施；共六部分）。</w:t>
            </w:r>
            <w:r>
              <w:rPr>
                <w:rFonts w:ascii="宋体" w:hAnsi="宋体" w:eastAsia="宋体" w:cs="宋体"/>
                <w:kern w:val="0"/>
                <w:szCs w:val="24"/>
                <w:highlight w:val="none"/>
              </w:rPr>
              <w:t>由评委进行评议：方案阐述完整，描述细致，包含上述</w:t>
            </w:r>
            <w:r>
              <w:rPr>
                <w:rFonts w:hint="eastAsia" w:ascii="宋体" w:hAnsi="宋体" w:eastAsia="宋体" w:cs="宋体"/>
                <w:kern w:val="0"/>
                <w:szCs w:val="24"/>
                <w:highlight w:val="none"/>
              </w:rPr>
              <w:t>六</w:t>
            </w:r>
            <w:r>
              <w:rPr>
                <w:rFonts w:ascii="宋体" w:hAnsi="宋体" w:eastAsia="宋体" w:cs="宋体"/>
                <w:kern w:val="0"/>
                <w:szCs w:val="24"/>
                <w:highlight w:val="none"/>
              </w:rPr>
              <w:t>个分项内容的得3分，方案阐述较为完整，描述较为细致，包含上述</w:t>
            </w:r>
            <w:r>
              <w:rPr>
                <w:rFonts w:hint="eastAsia" w:ascii="宋体" w:hAnsi="宋体" w:eastAsia="宋体" w:cs="宋体"/>
                <w:kern w:val="0"/>
                <w:szCs w:val="24"/>
                <w:highlight w:val="none"/>
              </w:rPr>
              <w:t>六</w:t>
            </w:r>
            <w:r>
              <w:rPr>
                <w:rFonts w:ascii="宋体" w:hAnsi="宋体" w:eastAsia="宋体" w:cs="宋体"/>
                <w:kern w:val="0"/>
                <w:szCs w:val="24"/>
                <w:highlight w:val="none"/>
              </w:rPr>
              <w:t>个分项内容的得2</w:t>
            </w:r>
            <w:r>
              <w:rPr>
                <w:rFonts w:hint="eastAsia" w:ascii="宋体" w:hAnsi="宋体" w:eastAsia="宋体" w:cs="宋体"/>
                <w:kern w:val="0"/>
                <w:szCs w:val="24"/>
                <w:highlight w:val="none"/>
                <w:lang w:val="en-US" w:eastAsia="zh-CN"/>
              </w:rPr>
              <w:t>.7</w:t>
            </w:r>
            <w:r>
              <w:rPr>
                <w:rFonts w:ascii="宋体" w:hAnsi="宋体" w:eastAsia="宋体" w:cs="宋体"/>
                <w:kern w:val="0"/>
                <w:szCs w:val="24"/>
                <w:highlight w:val="none"/>
              </w:rPr>
              <w:t>分，方案阐述一般，描述一般，包含上述</w:t>
            </w:r>
            <w:r>
              <w:rPr>
                <w:rFonts w:hint="eastAsia" w:ascii="宋体" w:hAnsi="宋体" w:eastAsia="宋体" w:cs="宋体"/>
                <w:kern w:val="0"/>
                <w:szCs w:val="24"/>
                <w:highlight w:val="none"/>
              </w:rPr>
              <w:t>六</w:t>
            </w:r>
            <w:r>
              <w:rPr>
                <w:rFonts w:ascii="宋体" w:hAnsi="宋体" w:eastAsia="宋体" w:cs="宋体"/>
                <w:kern w:val="0"/>
                <w:szCs w:val="24"/>
                <w:highlight w:val="none"/>
              </w:rPr>
              <w:t>个分项内容的得</w:t>
            </w:r>
            <w:r>
              <w:rPr>
                <w:rFonts w:hint="eastAsia" w:ascii="宋体" w:hAnsi="宋体" w:eastAsia="宋体" w:cs="宋体"/>
                <w:kern w:val="0"/>
                <w:szCs w:val="24"/>
                <w:highlight w:val="none"/>
                <w:lang w:val="en-US" w:eastAsia="zh-CN"/>
              </w:rPr>
              <w:t>2.4</w:t>
            </w:r>
            <w:r>
              <w:rPr>
                <w:rFonts w:ascii="宋体" w:hAnsi="宋体" w:eastAsia="宋体" w:cs="宋体"/>
                <w:kern w:val="0"/>
                <w:szCs w:val="24"/>
                <w:highlight w:val="none"/>
              </w:rPr>
              <w:t>分，未提供资源供应计划方案的本项不得分。</w:t>
            </w:r>
          </w:p>
        </w:tc>
      </w:tr>
      <w:tr w14:paraId="786214F5">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c>
          <w:tcPr>
            <w:tcW w:w="11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49B76ED3">
            <w:pPr>
              <w:spacing w:line="240" w:lineRule="auto"/>
              <w:ind w:firstLine="0" w:firstLineChars="0"/>
              <w:jc w:val="center"/>
              <w:rPr>
                <w:color w:val="000000" w:themeColor="text1"/>
                <w:highlight w:val="none"/>
                <w14:textFill>
                  <w14:solidFill>
                    <w14:schemeClr w14:val="tx1"/>
                  </w14:solidFill>
                </w14:textFill>
              </w:rPr>
            </w:pPr>
            <w:r>
              <w:rPr>
                <w:rFonts w:ascii="宋体" w:hAnsi="宋体" w:eastAsia="宋体" w:cs="宋体"/>
                <w:kern w:val="0"/>
                <w:szCs w:val="24"/>
                <w:highlight w:val="none"/>
              </w:rPr>
              <w:t>售后服务</w:t>
            </w:r>
            <w:r>
              <w:rPr>
                <w:rFonts w:hint="eastAsia" w:ascii="宋体" w:hAnsi="宋体" w:eastAsia="宋体" w:cs="宋体"/>
                <w:kern w:val="0"/>
                <w:szCs w:val="24"/>
                <w:highlight w:val="none"/>
              </w:rPr>
              <w:t>方案</w:t>
            </w:r>
          </w:p>
        </w:tc>
        <w:tc>
          <w:tcPr>
            <w:tcW w:w="56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1D237071">
            <w:pPr>
              <w:ind w:firstLine="0" w:firstLineChars="0"/>
              <w:jc w:val="center"/>
              <w:rPr>
                <w:highlight w:val="none"/>
              </w:rPr>
            </w:pPr>
            <w:r>
              <w:rPr>
                <w:rFonts w:ascii="宋体" w:hAnsi="宋体" w:eastAsia="宋体" w:cs="宋体"/>
                <w:kern w:val="0"/>
                <w:szCs w:val="24"/>
                <w:highlight w:val="none"/>
              </w:rPr>
              <w:t>3</w:t>
            </w:r>
          </w:p>
        </w:tc>
        <w:tc>
          <w:tcPr>
            <w:tcW w:w="667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739D6614">
            <w:pPr>
              <w:spacing w:line="240" w:lineRule="auto"/>
              <w:ind w:firstLine="0" w:firstLineChars="0"/>
              <w:rPr>
                <w:rFonts w:hint="eastAsia" w:asciiTheme="minorEastAsia" w:hAnsiTheme="minorEastAsia" w:cstheme="minorEastAsia"/>
                <w:highlight w:val="none"/>
              </w:rPr>
            </w:pPr>
            <w:r>
              <w:rPr>
                <w:rFonts w:ascii="宋体" w:hAnsi="宋体" w:eastAsia="宋体" w:cs="宋体"/>
                <w:kern w:val="0"/>
                <w:szCs w:val="24"/>
                <w:highlight w:val="none"/>
              </w:rPr>
              <w:t>根据投标人针对本项目的实际情况编制</w:t>
            </w:r>
            <w:r>
              <w:rPr>
                <w:rFonts w:hint="eastAsia" w:ascii="宋体" w:hAnsi="宋体" w:eastAsia="宋体" w:cs="宋体"/>
                <w:kern w:val="0"/>
                <w:szCs w:val="24"/>
                <w:highlight w:val="none"/>
              </w:rPr>
              <w:t>售后服务</w:t>
            </w:r>
            <w:r>
              <w:rPr>
                <w:rFonts w:ascii="宋体" w:hAnsi="宋体" w:eastAsia="宋体" w:cs="宋体"/>
                <w:kern w:val="0"/>
                <w:szCs w:val="24"/>
                <w:highlight w:val="none"/>
              </w:rPr>
              <w:t>方案</w:t>
            </w:r>
            <w:r>
              <w:rPr>
                <w:rFonts w:hint="eastAsia" w:ascii="宋体" w:hAnsi="宋体" w:eastAsia="宋体" w:cs="宋体"/>
                <w:kern w:val="0"/>
                <w:szCs w:val="24"/>
                <w:highlight w:val="none"/>
              </w:rPr>
              <w:t>（包含：①售后服务团队及售后服务范围、②系统升级需求变更与文档服务运行支持、③售后服务组织体系保障；共三部分）</w:t>
            </w:r>
            <w:r>
              <w:rPr>
                <w:rFonts w:ascii="宋体" w:hAnsi="宋体" w:eastAsia="宋体" w:cs="宋体"/>
                <w:kern w:val="0"/>
                <w:szCs w:val="24"/>
                <w:highlight w:val="none"/>
              </w:rPr>
              <w:t>由评委进行评议：方案阐述完整，描述细致，包含上述</w:t>
            </w:r>
            <w:r>
              <w:rPr>
                <w:rFonts w:hint="eastAsia" w:ascii="宋体" w:hAnsi="宋体" w:eastAsia="宋体" w:cs="宋体"/>
                <w:kern w:val="0"/>
                <w:szCs w:val="24"/>
                <w:highlight w:val="none"/>
              </w:rPr>
              <w:t>三</w:t>
            </w:r>
            <w:r>
              <w:rPr>
                <w:rFonts w:ascii="宋体" w:hAnsi="宋体" w:eastAsia="宋体" w:cs="宋体"/>
                <w:kern w:val="0"/>
                <w:szCs w:val="24"/>
                <w:highlight w:val="none"/>
              </w:rPr>
              <w:t>个分项内容的得3分，方案阐述较为完整，描述较为细致，包含上述</w:t>
            </w:r>
            <w:r>
              <w:rPr>
                <w:rFonts w:hint="eastAsia" w:ascii="宋体" w:hAnsi="宋体" w:eastAsia="宋体" w:cs="宋体"/>
                <w:kern w:val="0"/>
                <w:szCs w:val="24"/>
                <w:highlight w:val="none"/>
              </w:rPr>
              <w:t>三</w:t>
            </w:r>
            <w:r>
              <w:rPr>
                <w:rFonts w:ascii="宋体" w:hAnsi="宋体" w:eastAsia="宋体" w:cs="宋体"/>
                <w:kern w:val="0"/>
                <w:szCs w:val="24"/>
                <w:highlight w:val="none"/>
              </w:rPr>
              <w:t>个分项内容的得2</w:t>
            </w:r>
            <w:r>
              <w:rPr>
                <w:rFonts w:hint="eastAsia" w:ascii="宋体" w:hAnsi="宋体" w:eastAsia="宋体" w:cs="宋体"/>
                <w:kern w:val="0"/>
                <w:szCs w:val="24"/>
                <w:highlight w:val="none"/>
                <w:lang w:val="en-US" w:eastAsia="zh-CN"/>
              </w:rPr>
              <w:t>.7</w:t>
            </w:r>
            <w:r>
              <w:rPr>
                <w:rFonts w:ascii="宋体" w:hAnsi="宋体" w:eastAsia="宋体" w:cs="宋体"/>
                <w:kern w:val="0"/>
                <w:szCs w:val="24"/>
                <w:highlight w:val="none"/>
              </w:rPr>
              <w:t>分，方案阐述一般，描述一般，包含上述</w:t>
            </w:r>
            <w:r>
              <w:rPr>
                <w:rFonts w:hint="eastAsia" w:ascii="宋体" w:hAnsi="宋体" w:eastAsia="宋体" w:cs="宋体"/>
                <w:kern w:val="0"/>
                <w:szCs w:val="24"/>
                <w:highlight w:val="none"/>
              </w:rPr>
              <w:t>三</w:t>
            </w:r>
            <w:r>
              <w:rPr>
                <w:rFonts w:ascii="宋体" w:hAnsi="宋体" w:eastAsia="宋体" w:cs="宋体"/>
                <w:kern w:val="0"/>
                <w:szCs w:val="24"/>
                <w:highlight w:val="none"/>
              </w:rPr>
              <w:t>个分项内容的得</w:t>
            </w:r>
            <w:r>
              <w:rPr>
                <w:rFonts w:hint="eastAsia" w:ascii="宋体" w:hAnsi="宋体" w:eastAsia="宋体" w:cs="宋体"/>
                <w:kern w:val="0"/>
                <w:szCs w:val="24"/>
                <w:highlight w:val="none"/>
                <w:lang w:val="en-US" w:eastAsia="zh-CN"/>
              </w:rPr>
              <w:t>2.4</w:t>
            </w:r>
            <w:r>
              <w:rPr>
                <w:rFonts w:ascii="宋体" w:hAnsi="宋体" w:eastAsia="宋体" w:cs="宋体"/>
                <w:kern w:val="0"/>
                <w:szCs w:val="24"/>
                <w:highlight w:val="none"/>
              </w:rPr>
              <w:t>分，未提供资源供应计划方案的本项不得分。</w:t>
            </w:r>
          </w:p>
        </w:tc>
      </w:tr>
      <w:tr w14:paraId="0F3370AA">
        <w:tblPrEx>
          <w:tblBorders>
            <w:top w:val="none" w:color="666666" w:sz="6" w:space="0"/>
            <w:left w:val="none" w:color="666666" w:sz="6" w:space="0"/>
            <w:bottom w:val="none" w:color="666666" w:sz="6" w:space="0"/>
            <w:right w:val="none" w:color="666666" w:sz="6" w:space="0"/>
            <w:insideH w:val="none" w:color="auto" w:sz="0" w:space="0"/>
            <w:insideV w:val="none" w:color="auto" w:sz="0" w:space="0"/>
          </w:tblBorders>
          <w:tblCellMar>
            <w:top w:w="0" w:type="dxa"/>
            <w:left w:w="0" w:type="dxa"/>
            <w:bottom w:w="0" w:type="dxa"/>
            <w:right w:w="0" w:type="dxa"/>
          </w:tblCellMar>
        </w:tblPrEx>
        <w:tc>
          <w:tcPr>
            <w:tcW w:w="1126"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65CAF968">
            <w:pPr>
              <w:spacing w:line="240" w:lineRule="auto"/>
              <w:ind w:firstLine="0" w:firstLineChars="0"/>
              <w:jc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紧急处理时效</w:t>
            </w:r>
          </w:p>
        </w:tc>
        <w:tc>
          <w:tcPr>
            <w:tcW w:w="567"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6CEF51B">
            <w:pPr>
              <w:ind w:firstLine="0" w:firstLineChars="0"/>
              <w:jc w:val="center"/>
              <w:rPr>
                <w:highlight w:val="none"/>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4</w:t>
            </w:r>
          </w:p>
        </w:tc>
        <w:tc>
          <w:tcPr>
            <w:tcW w:w="6672" w:type="dxa"/>
            <w:tcBorders>
              <w:top w:val="single" w:color="666666" w:sz="6" w:space="0"/>
              <w:left w:val="single" w:color="666666" w:sz="6" w:space="0"/>
              <w:bottom w:val="single" w:color="666666" w:sz="6" w:space="0"/>
              <w:right w:val="single" w:color="666666" w:sz="6" w:space="0"/>
            </w:tcBorders>
            <w:shd w:val="clear" w:color="auto" w:fill="FFFFFF"/>
            <w:vAlign w:val="center"/>
          </w:tcPr>
          <w:p w14:paraId="3C9DDCFB">
            <w:pPr>
              <w:spacing w:line="240" w:lineRule="auto"/>
              <w:ind w:firstLine="0" w:firstLineChars="0"/>
              <w:rPr>
                <w:bCs/>
                <w:highlight w:val="none"/>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根据投标人针对本项目提供的紧急处理服务响应时间情况进行评分：投标人承诺从接到采购人通知后4个小时内针对紧急事项派出技术保障人员在现场保障系统的良好运行，协助采购人运用管理系统处理相关事宜的得4分；投标人需提供专项承诺函（格式自拟）并加盖其单位公章，未提供的本项不得分。</w:t>
            </w:r>
          </w:p>
        </w:tc>
      </w:tr>
    </w:tbl>
    <w:p w14:paraId="10A16775">
      <w:pPr>
        <w:adjustRightInd/>
        <w:snapToGrid/>
        <w:spacing w:after="0" w:line="480" w:lineRule="atLeast"/>
        <w:jc w:val="both"/>
        <w:rPr>
          <w:rFonts w:hint="eastAsia" w:asciiTheme="majorEastAsia" w:hAnsiTheme="majorEastAsia" w:eastAsiaTheme="majorEastAsia" w:cstheme="majorEastAsia"/>
          <w:sz w:val="24"/>
          <w:szCs w:val="24"/>
          <w:highlight w:val="none"/>
          <w:lang w:val="en-US" w:eastAsia="zh-CN"/>
        </w:rPr>
      </w:pPr>
    </w:p>
    <w:p w14:paraId="5EDE5BDD">
      <w:pPr>
        <w:pStyle w:val="47"/>
        <w:widowControl w:val="0"/>
        <w:ind w:firstLine="480" w:firstLineChars="20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★四、服务要求</w:t>
      </w:r>
    </w:p>
    <w:p w14:paraId="0C5ECD60">
      <w:pPr>
        <w:pStyle w:val="47"/>
        <w:widowControl w:val="0"/>
        <w:numPr>
          <w:ilvl w:val="0"/>
          <w:numId w:val="6"/>
        </w:numPr>
        <w:ind w:left="425" w:leftChars="0" w:hanging="425"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质量保证期：1年，自验收合格之日起计算。</w:t>
      </w:r>
    </w:p>
    <w:p w14:paraId="334A36AC">
      <w:pPr>
        <w:pStyle w:val="47"/>
        <w:widowControl w:val="0"/>
        <w:numPr>
          <w:ilvl w:val="0"/>
          <w:numId w:val="6"/>
        </w:numPr>
        <w:ind w:left="425" w:leftChars="0" w:hanging="425"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保修期内：免费进行设备安装调试；在质量保证期内设备运行发生故障时，中标人应7×24小时提供免费咨询服务，中标人在接到采购人故障通知后2小时内响应，6小时内应委派专业技术人员到现场免费提供咨询、维修和更换有缺陷的零部件，并及时填写维修报告(包括故障原因、处理情况及采购人意见等)报采购人备案。</w:t>
      </w:r>
    </w:p>
    <w:p w14:paraId="404D365D">
      <w:pPr>
        <w:pStyle w:val="47"/>
        <w:widowControl w:val="0"/>
        <w:numPr>
          <w:ilvl w:val="0"/>
          <w:numId w:val="6"/>
        </w:numPr>
        <w:ind w:left="425" w:leftChars="0" w:hanging="425"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为了更快速的响应免费保修期的保修工作，技术工程师需熟悉本项目的建设内容、技术要求及建设方案，能够熟练掌握本项目中所涉及的各类软硬件与问题的判断处理能力。</w:t>
      </w:r>
    </w:p>
    <w:p w14:paraId="0BBE200D">
      <w:pPr>
        <w:pStyle w:val="47"/>
        <w:widowControl w:val="0"/>
        <w:numPr>
          <w:ilvl w:val="0"/>
          <w:numId w:val="6"/>
        </w:numPr>
        <w:ind w:left="425" w:leftChars="0" w:hanging="425"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投标人应响应本次采购售后服务要求，并提供承诺函，也可视自身能力在投标文件中提供更优、更合理的售后服务承诺。</w:t>
      </w:r>
    </w:p>
    <w:p w14:paraId="7E53FCDA">
      <w:pPr>
        <w:pStyle w:val="47"/>
        <w:widowControl w:val="0"/>
        <w:ind w:firstLine="480" w:firstLineChars="20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★五、其它要求</w:t>
      </w:r>
    </w:p>
    <w:p w14:paraId="4C643131">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招标文件的技术要求应视为保证系统投入运行所需的最低要求，投标人不得虚报各项技术指标。</w:t>
      </w:r>
    </w:p>
    <w:p w14:paraId="659CC4B0">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投标人须承诺所提供的本次投标涉及的所有证明材料为真实有效(本次投标要求涉及的所有证明材料以颁发时间起至本次项目提交投标文件截止时间前为止)，评标过程中若发现虚假材料的，其投标无效。招标人有权在评标过程中对投标人投标文件中的各种产品资料、设备指标、说明、承诺的真实性进行核查【包括但不限于原件备查、技术咨询确认、功能演示(若有)等形式】，招标人有权在签订合同之前对投标人所提供货物的各种设备指标、设备功能、承诺的真实性进行核查（包括但不限于检测报告或资料原件的核查、技术咨询确认、设备实物产品确认等形式），投标人应无条件配合招标人的核查工作，不得托词拒绝核查或隐瞒真实情况。若在中标后或签约前或执行合同过程中发现有为谋取中标而提供虚假资料和承诺欺骗招标人和评委的行为，招标人将取消其中标资格或单方面终止合同，其投标保证金、履约保证金（若有）将不予退还，给招标人和招标代理机构造成损失的，还必须进行赔偿并负相关责任。投标人须针对前述内容在投标文件中单独提供专项承诺函（格式自拟），否则视为未实质性响应招标文件要求，按无效投标处理。</w:t>
      </w:r>
    </w:p>
    <w:p w14:paraId="1D8441C9">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投标人所投产品如有国家强制性要求或认证的（包括3C、节能、信息安全等）且招标文件“二、技术和服务要求”中有要求投标时提供国家强制性要求或认证的必须提供，未要求提供的，投标人须承诺该产品满足国家强制性认证，并提供承诺函（承诺函格式自拟）。</w:t>
      </w:r>
    </w:p>
    <w:p w14:paraId="57D5F697">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在服务过程中如遇到招标文件中未做规定或未明确的其它约定事项或条款的，由采购人与中标供应商协商后另做规定。</w:t>
      </w:r>
    </w:p>
    <w:p w14:paraId="618F0888">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因中标人原因造成采购供货合同无法按时签订，视为中标人违约，中标人需赔偿采购人的损失。</w:t>
      </w:r>
    </w:p>
    <w:p w14:paraId="6E21F560">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在签定采购供货合同之后，中标人要求解除合同的，视为中标人违约；中标人违约对采购人造成的损失的，需另行支付相应的赔偿。</w:t>
      </w:r>
    </w:p>
    <w:p w14:paraId="270A798D">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因中标人原因发生重大质量事故，除依约承担赔偿责任外，还将按有关质量管理办法规定执行。同时，采购人有权保留更换中标人的权利，并报相关行政主管部门处罚。</w:t>
      </w:r>
    </w:p>
    <w:p w14:paraId="5F3483A4">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合同签订后至合同期届满前，中标人应严格按照相关安全规范执行。若发生安全事故或特大安全事故，责任由中标人承担，采购人或使用人不承担任何法律责任及赔偿。</w:t>
      </w:r>
    </w:p>
    <w:p w14:paraId="14B59B44">
      <w:pPr>
        <w:pStyle w:val="47"/>
        <w:widowControl w:val="0"/>
        <w:numPr>
          <w:ilvl w:val="0"/>
          <w:numId w:val="7"/>
        </w:numPr>
        <w:ind w:left="0" w:leftChars="0" w:firstLine="420" w:firstLineChars="0"/>
        <w:jc w:val="both"/>
        <w:rPr>
          <w:rFonts w:hint="eastAsia" w:asciiTheme="majorEastAsia" w:hAnsiTheme="majorEastAsia" w:eastAsiaTheme="majorEastAsia" w:cstheme="majorEastAsia"/>
          <w:color w:val="auto"/>
          <w:sz w:val="24"/>
          <w:szCs w:val="24"/>
          <w:highlight w:val="none"/>
          <w:shd w:val="clear" w:color="auto" w:fill="FFFFFF"/>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在明确违约责任后，中标人应在接到书面通知书起30个日历日内支付违约金、赔偿金等。</w:t>
      </w:r>
    </w:p>
    <w:p w14:paraId="171D9258">
      <w:pPr>
        <w:pStyle w:val="47"/>
        <w:widowControl w:val="0"/>
        <w:ind w:firstLine="480" w:firstLineChars="200"/>
        <w:jc w:val="both"/>
        <w:rPr>
          <w:rFonts w:hint="eastAsia" w:ascii="宋体" w:hAnsi="宋体" w:cs="宋体"/>
          <w:b/>
          <w:bCs/>
          <w:color w:val="000000"/>
          <w:sz w:val="28"/>
          <w:szCs w:val="28"/>
          <w:highlight w:val="none"/>
          <w:lang w:val="en-US" w:eastAsia="zh-CN"/>
        </w:rPr>
      </w:pPr>
      <w:r>
        <w:rPr>
          <w:rFonts w:hint="eastAsia" w:asciiTheme="majorEastAsia" w:hAnsiTheme="majorEastAsia" w:eastAsiaTheme="majorEastAsia" w:cstheme="majorEastAsia"/>
          <w:color w:val="auto"/>
          <w:sz w:val="24"/>
          <w:szCs w:val="24"/>
          <w:highlight w:val="none"/>
          <w:shd w:val="clear" w:color="auto" w:fill="FFFFFF"/>
          <w:lang w:val="en-US" w:eastAsia="zh-CN"/>
        </w:rPr>
        <w:t>10.中标人应保障采购人或使用人在使用其产品（包括但不限于软件、硬件、服务等）时不会受到第三方关于侵犯知识产权及专 利权、商 标权或工业设 计权等知识产权方面的指控，若任何第三方提出此方面指控均与采购人或使用人无关，中标人应与第三方交涉，并承担可能发生的一切法律责任、费用和后果；若采购人或使用人因此而遭致损失，则中标人应赔偿该损失。</w:t>
      </w:r>
    </w:p>
    <w:p w14:paraId="451B6B57">
      <w:pPr>
        <w:pStyle w:val="47"/>
        <w:widowControl w:val="0"/>
        <w:jc w:val="both"/>
        <w:rPr>
          <w:rFonts w:hint="eastAsia" w:ascii="宋体" w:hAnsi="宋体" w:cs="宋体"/>
          <w:b/>
          <w:bCs/>
          <w:color w:val="000000"/>
          <w:sz w:val="28"/>
          <w:szCs w:val="28"/>
          <w:highlight w:val="none"/>
          <w:lang w:val="en-US" w:eastAsia="zh-CN"/>
        </w:rPr>
      </w:pPr>
    </w:p>
    <w:p w14:paraId="08193E64">
      <w:pPr>
        <w:pStyle w:val="47"/>
        <w:widowControl w:val="0"/>
        <w:jc w:val="both"/>
        <w:rPr>
          <w:rFonts w:hint="eastAsia" w:ascii="宋体" w:hAnsi="宋体" w:cs="宋体"/>
          <w:b/>
          <w:bCs/>
          <w:color w:val="000000"/>
          <w:sz w:val="28"/>
          <w:szCs w:val="28"/>
          <w:highlight w:val="none"/>
          <w:lang w:val="en-US" w:eastAsia="zh-CN"/>
        </w:rPr>
      </w:pPr>
    </w:p>
    <w:p w14:paraId="70EDCF3E">
      <w:pPr>
        <w:rPr>
          <w:rFonts w:hint="eastAsia" w:ascii="宋体" w:hAnsi="宋体" w:cs="宋体"/>
          <w:b/>
          <w:bCs/>
          <w:color w:val="000000"/>
          <w:sz w:val="28"/>
          <w:szCs w:val="28"/>
          <w:highlight w:val="none"/>
          <w:lang w:val="en-US" w:eastAsia="zh-CN"/>
        </w:rPr>
      </w:pPr>
      <w:r>
        <w:rPr>
          <w:rFonts w:hint="eastAsia" w:ascii="宋体" w:hAnsi="宋体" w:cs="宋体"/>
          <w:b/>
          <w:bCs/>
          <w:color w:val="000000"/>
          <w:sz w:val="28"/>
          <w:szCs w:val="28"/>
          <w:highlight w:val="none"/>
          <w:lang w:val="en-US" w:eastAsia="zh-CN"/>
        </w:rPr>
        <w:br w:type="page"/>
      </w:r>
    </w:p>
    <w:p w14:paraId="564425A8">
      <w:pPr>
        <w:autoSpaceDE w:val="0"/>
        <w:autoSpaceDN w:val="0"/>
        <w:spacing w:line="560" w:lineRule="exact"/>
        <w:textAlignment w:val="bottom"/>
        <w:rPr>
          <w:rFonts w:ascii="仿宋_GB2312" w:hAnsi="仿宋_GB2312" w:eastAsia="仿宋_GB2312" w:cs="仿宋_GB2312"/>
          <w:bCs/>
          <w:sz w:val="28"/>
          <w:szCs w:val="28"/>
          <w:highlight w:val="none"/>
        </w:rPr>
      </w:pPr>
    </w:p>
    <w:p w14:paraId="2DF36A45">
      <w:pPr>
        <w:pStyle w:val="12"/>
        <w:ind w:firstLine="0"/>
        <w:jc w:val="center"/>
        <w:rPr>
          <w:highlight w:val="none"/>
        </w:rPr>
      </w:pPr>
      <w:r>
        <w:rPr>
          <w:rFonts w:hint="eastAsia"/>
          <w:b/>
          <w:sz w:val="28"/>
          <w:szCs w:val="28"/>
          <w:highlight w:val="none"/>
        </w:rPr>
        <w:t>一、投标书</w:t>
      </w:r>
    </w:p>
    <w:p w14:paraId="1B56345B">
      <w:pPr>
        <w:rPr>
          <w:rFonts w:ascii="仿宋_GB2312" w:eastAsia="仿宋_GB2312"/>
          <w:sz w:val="28"/>
          <w:szCs w:val="28"/>
          <w:highlight w:val="none"/>
        </w:rPr>
      </w:pPr>
      <w:r>
        <w:rPr>
          <w:rFonts w:hint="eastAsia" w:ascii="仿宋_GB2312" w:eastAsia="仿宋_GB2312"/>
          <w:sz w:val="28"/>
          <w:szCs w:val="28"/>
          <w:highlight w:val="none"/>
        </w:rPr>
        <w:t>致：福建省肿瘤医院</w:t>
      </w:r>
    </w:p>
    <w:p w14:paraId="34667F2F">
      <w:pPr>
        <w:rPr>
          <w:rFonts w:ascii="仿宋_GB2312" w:eastAsia="仿宋_GB2312"/>
          <w:sz w:val="28"/>
          <w:szCs w:val="28"/>
          <w:highlight w:val="none"/>
        </w:rPr>
      </w:pPr>
      <w:r>
        <w:rPr>
          <w:rFonts w:hint="eastAsia" w:ascii="仿宋_GB2312" w:eastAsia="仿宋_GB2312"/>
          <w:sz w:val="28"/>
          <w:szCs w:val="28"/>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eastAsia="仿宋_GB2312"/>
          <w:b/>
          <w:sz w:val="28"/>
          <w:szCs w:val="28"/>
          <w:highlight w:val="none"/>
          <w:u w:val="single"/>
        </w:rPr>
        <w:t xml:space="preserve">：      </w:t>
      </w:r>
      <w:r>
        <w:rPr>
          <w:rFonts w:hint="eastAsia" w:ascii="仿宋_GB2312" w:eastAsia="仿宋_GB2312"/>
          <w:sz w:val="28"/>
          <w:szCs w:val="28"/>
          <w:highlight w:val="none"/>
          <w:u w:val="single"/>
        </w:rPr>
        <w:t xml:space="preserve">  （小写：           ）</w:t>
      </w:r>
      <w:r>
        <w:rPr>
          <w:rFonts w:hint="eastAsia" w:ascii="仿宋_GB2312" w:eastAsia="仿宋_GB2312"/>
          <w:sz w:val="28"/>
          <w:szCs w:val="28"/>
          <w:highlight w:val="none"/>
        </w:rPr>
        <w:t>的投标报价并按上述条款、标准要求承包上述项目，并承担任何质量缺陷保修责任。</w:t>
      </w:r>
    </w:p>
    <w:p w14:paraId="06E27D36">
      <w:pPr>
        <w:ind w:firstLine="532" w:firstLineChars="190"/>
        <w:rPr>
          <w:rFonts w:ascii="仿宋_GB2312" w:eastAsia="仿宋_GB2312"/>
          <w:sz w:val="28"/>
          <w:szCs w:val="28"/>
          <w:highlight w:val="none"/>
        </w:rPr>
      </w:pPr>
      <w:r>
        <w:rPr>
          <w:rFonts w:hint="eastAsia" w:ascii="仿宋_GB2312" w:eastAsia="仿宋_GB2312"/>
          <w:sz w:val="28"/>
          <w:szCs w:val="28"/>
          <w:highlight w:val="none"/>
        </w:rPr>
        <w:t>2、我方已详细审核全部招标文件及有关附件。</w:t>
      </w:r>
    </w:p>
    <w:p w14:paraId="472AC5E7">
      <w:pPr>
        <w:ind w:firstLine="532" w:firstLineChars="190"/>
        <w:rPr>
          <w:rFonts w:ascii="仿宋_GB2312" w:eastAsia="仿宋_GB2312"/>
          <w:sz w:val="28"/>
          <w:szCs w:val="28"/>
          <w:highlight w:val="none"/>
        </w:rPr>
      </w:pPr>
      <w:r>
        <w:rPr>
          <w:rFonts w:hint="eastAsia" w:ascii="仿宋_GB2312" w:eastAsia="仿宋_GB2312"/>
          <w:sz w:val="28"/>
          <w:szCs w:val="28"/>
          <w:highlight w:val="none"/>
        </w:rPr>
        <w:t>3、一旦我方中标，我方保证质量达到</w:t>
      </w:r>
      <w:r>
        <w:rPr>
          <w:rFonts w:hint="eastAsia" w:ascii="仿宋_GB2312" w:eastAsia="仿宋_GB2312"/>
          <w:b/>
          <w:sz w:val="28"/>
          <w:szCs w:val="28"/>
          <w:highlight w:val="none"/>
          <w:u w:val="single"/>
        </w:rPr>
        <w:t>投标须知、投标文件等规定</w:t>
      </w:r>
      <w:r>
        <w:rPr>
          <w:rFonts w:hint="eastAsia" w:ascii="仿宋_GB2312" w:eastAsia="仿宋_GB2312"/>
          <w:sz w:val="28"/>
          <w:szCs w:val="28"/>
          <w:highlight w:val="none"/>
        </w:rPr>
        <w:t>标准。</w:t>
      </w:r>
    </w:p>
    <w:p w14:paraId="2E317E18">
      <w:pPr>
        <w:ind w:firstLine="532" w:firstLineChars="190"/>
        <w:rPr>
          <w:rFonts w:ascii="仿宋_GB2312" w:eastAsia="仿宋_GB2312"/>
          <w:sz w:val="28"/>
          <w:szCs w:val="28"/>
          <w:highlight w:val="none"/>
        </w:rPr>
      </w:pPr>
      <w:r>
        <w:rPr>
          <w:rFonts w:hint="eastAsia" w:ascii="仿宋_GB2312" w:eastAsia="仿宋_GB2312"/>
          <w:sz w:val="28"/>
          <w:szCs w:val="28"/>
          <w:highlight w:val="none"/>
        </w:rPr>
        <w:t>4、我方同意所提交的投标文件在招标文件的投标须知中规定的投标有效期内有效，在此期间内如果中标，我方将受此约束。</w:t>
      </w:r>
    </w:p>
    <w:p w14:paraId="5B63AA2C">
      <w:pPr>
        <w:ind w:firstLine="426"/>
        <w:rPr>
          <w:rFonts w:ascii="仿宋_GB2312" w:eastAsia="仿宋_GB2312"/>
          <w:sz w:val="28"/>
          <w:szCs w:val="28"/>
          <w:highlight w:val="none"/>
        </w:rPr>
      </w:pPr>
      <w:r>
        <w:rPr>
          <w:rFonts w:hint="eastAsia" w:ascii="仿宋_GB2312" w:eastAsia="仿宋_GB2312"/>
          <w:sz w:val="28"/>
          <w:szCs w:val="28"/>
          <w:highlight w:val="none"/>
        </w:rPr>
        <w:t>5、除非另外达成协议并生效，你方的中标通知书和本投标文件将成为约束双方的合同文件的组成部分。</w:t>
      </w:r>
    </w:p>
    <w:p w14:paraId="5936FFB0">
      <w:pPr>
        <w:ind w:firstLine="560" w:firstLineChars="200"/>
        <w:rPr>
          <w:rFonts w:ascii="仿宋_GB2312" w:eastAsia="仿宋_GB2312"/>
          <w:sz w:val="28"/>
          <w:szCs w:val="28"/>
          <w:highlight w:val="none"/>
        </w:rPr>
      </w:pPr>
      <w:r>
        <w:rPr>
          <w:rFonts w:hint="eastAsia" w:ascii="仿宋_GB2312" w:eastAsia="仿宋_GB2312"/>
          <w:sz w:val="28"/>
          <w:szCs w:val="28"/>
          <w:highlight w:val="none"/>
        </w:rPr>
        <w:t>附件：报价清单</w:t>
      </w:r>
    </w:p>
    <w:p w14:paraId="221E3776">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投标人（盖章）： </w:t>
      </w:r>
    </w:p>
    <w:p w14:paraId="1A49A4A5">
      <w:pPr>
        <w:spacing w:line="360" w:lineRule="exact"/>
        <w:rPr>
          <w:rFonts w:ascii="仿宋_GB2312" w:eastAsia="仿宋_GB2312"/>
          <w:sz w:val="28"/>
          <w:szCs w:val="28"/>
          <w:highlight w:val="none"/>
        </w:rPr>
      </w:pPr>
    </w:p>
    <w:p w14:paraId="7C37CDE4">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单位地址： </w:t>
      </w:r>
    </w:p>
    <w:p w14:paraId="37558B80">
      <w:pPr>
        <w:spacing w:line="360" w:lineRule="exact"/>
        <w:rPr>
          <w:rFonts w:ascii="仿宋_GB2312" w:eastAsia="仿宋_GB2312"/>
          <w:sz w:val="28"/>
          <w:szCs w:val="28"/>
          <w:highlight w:val="none"/>
        </w:rPr>
      </w:pPr>
    </w:p>
    <w:p w14:paraId="7194E077">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法定代表人（签字或盖章）：</w:t>
      </w:r>
    </w:p>
    <w:p w14:paraId="57AC0C51">
      <w:pPr>
        <w:spacing w:line="360" w:lineRule="exact"/>
        <w:rPr>
          <w:rFonts w:ascii="仿宋_GB2312" w:eastAsia="仿宋_GB2312"/>
          <w:sz w:val="28"/>
          <w:szCs w:val="28"/>
          <w:highlight w:val="none"/>
        </w:rPr>
      </w:pPr>
    </w:p>
    <w:p w14:paraId="5BB2CC8D">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邮政编码：         </w:t>
      </w:r>
    </w:p>
    <w:p w14:paraId="73BE8F3A">
      <w:pPr>
        <w:spacing w:line="360" w:lineRule="exact"/>
        <w:ind w:firstLine="3220" w:firstLineChars="1150"/>
        <w:rPr>
          <w:rFonts w:ascii="仿宋_GB2312" w:eastAsia="仿宋_GB2312"/>
          <w:sz w:val="28"/>
          <w:szCs w:val="28"/>
          <w:highlight w:val="none"/>
        </w:rPr>
      </w:pPr>
    </w:p>
    <w:p w14:paraId="032A4355">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电话：       </w:t>
      </w:r>
    </w:p>
    <w:p w14:paraId="3718965E">
      <w:pPr>
        <w:spacing w:line="360" w:lineRule="exact"/>
        <w:ind w:firstLine="3220" w:firstLineChars="1150"/>
        <w:rPr>
          <w:rFonts w:ascii="仿宋_GB2312" w:eastAsia="仿宋_GB2312"/>
          <w:sz w:val="28"/>
          <w:szCs w:val="28"/>
          <w:highlight w:val="none"/>
        </w:rPr>
      </w:pPr>
    </w:p>
    <w:p w14:paraId="3853653F">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传真：  </w:t>
      </w:r>
    </w:p>
    <w:p w14:paraId="05C15048">
      <w:pPr>
        <w:spacing w:line="360" w:lineRule="exact"/>
        <w:rPr>
          <w:rFonts w:ascii="仿宋_GB2312" w:eastAsia="仿宋_GB2312"/>
          <w:sz w:val="28"/>
          <w:szCs w:val="28"/>
          <w:highlight w:val="none"/>
        </w:rPr>
      </w:pPr>
    </w:p>
    <w:p w14:paraId="62D67507">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开户银行名称： </w:t>
      </w:r>
    </w:p>
    <w:p w14:paraId="4EC7EE00">
      <w:pPr>
        <w:spacing w:line="360" w:lineRule="exact"/>
        <w:rPr>
          <w:rFonts w:ascii="仿宋_GB2312" w:eastAsia="仿宋_GB2312"/>
          <w:sz w:val="28"/>
          <w:szCs w:val="28"/>
          <w:highlight w:val="none"/>
        </w:rPr>
      </w:pPr>
    </w:p>
    <w:p w14:paraId="2C498EB0">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开户银行帐号： </w:t>
      </w:r>
    </w:p>
    <w:p w14:paraId="20A80C94">
      <w:pPr>
        <w:spacing w:line="360" w:lineRule="exact"/>
        <w:rPr>
          <w:rFonts w:ascii="仿宋_GB2312" w:eastAsia="仿宋_GB2312"/>
          <w:sz w:val="28"/>
          <w:szCs w:val="28"/>
          <w:highlight w:val="none"/>
        </w:rPr>
      </w:pPr>
    </w:p>
    <w:p w14:paraId="06635F94">
      <w:pPr>
        <w:spacing w:line="360" w:lineRule="exact"/>
        <w:jc w:val="center"/>
        <w:rPr>
          <w:rFonts w:ascii="仿宋_GB2312" w:eastAsia="仿宋_GB2312"/>
          <w:sz w:val="28"/>
          <w:szCs w:val="28"/>
          <w:highlight w:val="none"/>
        </w:rPr>
      </w:pPr>
      <w:r>
        <w:rPr>
          <w:rFonts w:hint="eastAsia" w:ascii="仿宋_GB2312" w:eastAsia="仿宋_GB2312"/>
          <w:sz w:val="28"/>
          <w:szCs w:val="28"/>
          <w:highlight w:val="none"/>
        </w:rPr>
        <w:t>开户银行地址：</w:t>
      </w:r>
    </w:p>
    <w:p w14:paraId="2DE6DBEB">
      <w:pPr>
        <w:spacing w:line="360" w:lineRule="exact"/>
        <w:rPr>
          <w:rFonts w:ascii="仿宋_GB2312" w:eastAsia="仿宋_GB2312"/>
          <w:sz w:val="28"/>
          <w:szCs w:val="28"/>
          <w:highlight w:val="none"/>
        </w:rPr>
      </w:pPr>
    </w:p>
    <w:p w14:paraId="66ADB661">
      <w:pPr>
        <w:spacing w:line="360" w:lineRule="exact"/>
        <w:ind w:firstLine="3220" w:firstLineChars="1150"/>
        <w:rPr>
          <w:rFonts w:ascii="仿宋_GB2312" w:eastAsia="仿宋_GB2312"/>
          <w:sz w:val="28"/>
          <w:szCs w:val="28"/>
          <w:highlight w:val="none"/>
        </w:rPr>
      </w:pPr>
      <w:r>
        <w:rPr>
          <w:rFonts w:hint="eastAsia" w:ascii="仿宋_GB2312" w:eastAsia="仿宋_GB2312"/>
          <w:sz w:val="28"/>
          <w:szCs w:val="28"/>
          <w:highlight w:val="none"/>
        </w:rPr>
        <w:t xml:space="preserve">开户银行电话： </w:t>
      </w:r>
    </w:p>
    <w:p w14:paraId="1B861BA3">
      <w:pPr>
        <w:spacing w:line="360" w:lineRule="exact"/>
        <w:ind w:firstLine="600"/>
        <w:rPr>
          <w:rFonts w:ascii="仿宋_GB2312" w:eastAsia="仿宋_GB2312"/>
          <w:sz w:val="28"/>
          <w:szCs w:val="28"/>
          <w:highlight w:val="none"/>
        </w:rPr>
      </w:pPr>
    </w:p>
    <w:p w14:paraId="17C30586">
      <w:pPr>
        <w:spacing w:line="360" w:lineRule="exact"/>
        <w:jc w:val="right"/>
        <w:rPr>
          <w:rFonts w:ascii="仿宋_GB2312" w:eastAsia="仿宋_GB2312"/>
          <w:sz w:val="28"/>
          <w:szCs w:val="28"/>
          <w:highlight w:val="none"/>
        </w:rPr>
      </w:pPr>
      <w:r>
        <w:rPr>
          <w:rFonts w:hint="eastAsia" w:ascii="仿宋_GB2312" w:eastAsia="仿宋_GB2312"/>
          <w:sz w:val="28"/>
          <w:szCs w:val="28"/>
          <w:highlight w:val="none"/>
        </w:rPr>
        <w:t>日期：   年   月    日</w:t>
      </w:r>
    </w:p>
    <w:p w14:paraId="160AFFDD">
      <w:pPr>
        <w:rPr>
          <w:rFonts w:ascii="仿宋_GB2312" w:eastAsia="仿宋_GB2312"/>
          <w:sz w:val="28"/>
          <w:szCs w:val="28"/>
          <w:highlight w:val="none"/>
        </w:rPr>
      </w:pPr>
    </w:p>
    <w:p w14:paraId="7DD2CEBB">
      <w:pPr>
        <w:rPr>
          <w:rFonts w:ascii="仿宋_GB2312" w:eastAsia="仿宋_GB2312"/>
          <w:sz w:val="28"/>
          <w:szCs w:val="28"/>
          <w:highlight w:val="none"/>
        </w:rPr>
      </w:pPr>
      <w:r>
        <w:rPr>
          <w:rFonts w:hint="eastAsia" w:ascii="仿宋_GB2312" w:eastAsia="仿宋_GB2312"/>
          <w:sz w:val="28"/>
          <w:szCs w:val="28"/>
          <w:highlight w:val="none"/>
        </w:rPr>
        <w:t>附件：投标报价清单</w:t>
      </w:r>
    </w:p>
    <w:p w14:paraId="34BBC3ED">
      <w:pPr>
        <w:rPr>
          <w:sz w:val="28"/>
          <w:szCs w:val="28"/>
          <w:highlight w:val="none"/>
        </w:rPr>
      </w:pPr>
    </w:p>
    <w:tbl>
      <w:tblPr>
        <w:tblStyle w:val="22"/>
        <w:tblW w:w="0" w:type="auto"/>
        <w:jc w:val="center"/>
        <w:tblLayout w:type="fixed"/>
        <w:tblCellMar>
          <w:top w:w="0" w:type="dxa"/>
          <w:left w:w="108" w:type="dxa"/>
          <w:bottom w:w="0" w:type="dxa"/>
          <w:right w:w="108" w:type="dxa"/>
        </w:tblCellMar>
      </w:tblPr>
      <w:tblGrid>
        <w:gridCol w:w="629"/>
        <w:gridCol w:w="4399"/>
        <w:gridCol w:w="1417"/>
        <w:gridCol w:w="1440"/>
      </w:tblGrid>
      <w:tr w14:paraId="1551126E">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14:paraId="3290F21D">
            <w:pPr>
              <w:jc w:val="center"/>
              <w:rPr>
                <w:rFonts w:ascii="宋体" w:hAnsi="宋体" w:eastAsia="仿宋_GB2312" w:cs="Arial"/>
                <w:sz w:val="28"/>
                <w:szCs w:val="28"/>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14:paraId="57FB7D0F">
            <w:pPr>
              <w:jc w:val="center"/>
              <w:rPr>
                <w:rFonts w:ascii="宋体" w:hAnsi="宋体" w:eastAsia="仿宋_GB2312" w:cs="Arial"/>
                <w:sz w:val="28"/>
                <w:szCs w:val="28"/>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14:paraId="6D9FD8D9">
            <w:pPr>
              <w:jc w:val="center"/>
              <w:rPr>
                <w:rFonts w:ascii="宋体" w:hAnsi="宋体" w:eastAsia="仿宋_GB2312" w:cs="Arial"/>
                <w:sz w:val="28"/>
                <w:szCs w:val="28"/>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14:paraId="1D5D906F">
            <w:pPr>
              <w:jc w:val="center"/>
              <w:rPr>
                <w:rFonts w:ascii="宋体" w:hAnsi="宋体" w:eastAsia="仿宋_GB2312" w:cs="Arial"/>
                <w:sz w:val="28"/>
                <w:szCs w:val="28"/>
                <w:highlight w:val="none"/>
              </w:rPr>
            </w:pPr>
          </w:p>
        </w:tc>
      </w:tr>
      <w:tr w14:paraId="018EC157">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0AC92E45">
            <w:pPr>
              <w:jc w:val="center"/>
              <w:rPr>
                <w:rFonts w:ascii="宋体" w:hAnsi="宋体" w:eastAsia="仿宋_GB2312" w:cs="Arial"/>
                <w:sz w:val="28"/>
                <w:szCs w:val="28"/>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58C3EBE0">
            <w:pPr>
              <w:pStyle w:val="18"/>
              <w:shd w:val="clear" w:color="auto" w:fill="FFFFFF"/>
              <w:spacing w:line="304" w:lineRule="atLeast"/>
              <w:rPr>
                <w:rFonts w:ascii="仿宋_GB2312" w:hAnsi="inherit" w:eastAsia="仿宋_GB2312" w:cs="宋体"/>
                <w:kern w:val="2"/>
                <w:sz w:val="28"/>
                <w:szCs w:val="28"/>
                <w:highlight w:val="none"/>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20FA5867">
            <w:pPr>
              <w:jc w:val="center"/>
              <w:rPr>
                <w:rFonts w:ascii="宋体" w:hAnsi="宋体" w:eastAsia="仿宋_GB2312" w:cs="Arial"/>
                <w:sz w:val="28"/>
                <w:szCs w:val="28"/>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4CC29795">
            <w:pPr>
              <w:jc w:val="center"/>
              <w:rPr>
                <w:rFonts w:ascii="宋体" w:hAnsi="宋体" w:eastAsia="仿宋_GB2312" w:cs="Arial"/>
                <w:sz w:val="28"/>
                <w:szCs w:val="28"/>
                <w:highlight w:val="none"/>
              </w:rPr>
            </w:pPr>
          </w:p>
        </w:tc>
      </w:tr>
      <w:tr w14:paraId="4C1E20D7">
        <w:tblPrEx>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14:paraId="5DB3A9AE">
            <w:pPr>
              <w:jc w:val="center"/>
              <w:rPr>
                <w:rFonts w:ascii="宋体" w:hAnsi="宋体" w:eastAsia="仿宋_GB2312" w:cs="Arial"/>
                <w:sz w:val="28"/>
                <w:szCs w:val="28"/>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14:paraId="41E94F0E">
            <w:pPr>
              <w:pStyle w:val="18"/>
              <w:shd w:val="clear" w:color="auto" w:fill="FFFFFF"/>
              <w:spacing w:line="304" w:lineRule="atLeast"/>
              <w:rPr>
                <w:rFonts w:ascii="仿宋_GB2312" w:hAnsi="inherit" w:eastAsia="仿宋_GB2312" w:cs="宋体"/>
                <w:kern w:val="2"/>
                <w:sz w:val="28"/>
                <w:szCs w:val="28"/>
                <w:highlight w:val="none"/>
              </w:rPr>
            </w:pPr>
          </w:p>
        </w:tc>
        <w:tc>
          <w:tcPr>
            <w:tcW w:w="1417" w:type="dxa"/>
            <w:tcBorders>
              <w:top w:val="single" w:color="auto" w:sz="4" w:space="0"/>
              <w:left w:val="single" w:color="000000" w:sz="4" w:space="0"/>
              <w:bottom w:val="single" w:color="auto" w:sz="4" w:space="0"/>
              <w:right w:val="single" w:color="auto" w:sz="4" w:space="0"/>
            </w:tcBorders>
            <w:shd w:val="clear" w:color="FFFFFF" w:fill="auto"/>
          </w:tcPr>
          <w:p w14:paraId="5249318D">
            <w:pPr>
              <w:jc w:val="center"/>
              <w:rPr>
                <w:rFonts w:ascii="宋体" w:hAnsi="宋体" w:eastAsia="仿宋_GB2312" w:cs="Arial"/>
                <w:sz w:val="28"/>
                <w:szCs w:val="28"/>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tcPr>
          <w:p w14:paraId="30EA9186">
            <w:pPr>
              <w:jc w:val="center"/>
              <w:rPr>
                <w:rFonts w:ascii="宋体" w:hAnsi="宋体" w:eastAsia="仿宋_GB2312" w:cs="Arial"/>
                <w:sz w:val="28"/>
                <w:szCs w:val="28"/>
                <w:highlight w:val="none"/>
              </w:rPr>
            </w:pPr>
          </w:p>
        </w:tc>
      </w:tr>
    </w:tbl>
    <w:p w14:paraId="4DB8A529">
      <w:pPr>
        <w:jc w:val="center"/>
        <w:rPr>
          <w:sz w:val="28"/>
          <w:szCs w:val="28"/>
          <w:highlight w:val="none"/>
        </w:rPr>
      </w:pPr>
    </w:p>
    <w:p w14:paraId="25740C8F">
      <w:pPr>
        <w:jc w:val="center"/>
        <w:rPr>
          <w:b/>
          <w:sz w:val="28"/>
          <w:szCs w:val="28"/>
          <w:highlight w:val="none"/>
        </w:rPr>
      </w:pPr>
      <w:r>
        <w:rPr>
          <w:rFonts w:hint="eastAsia"/>
          <w:b/>
          <w:sz w:val="28"/>
          <w:szCs w:val="28"/>
          <w:highlight w:val="none"/>
        </w:rPr>
        <w:t>二、投标委托代表人资格证明书</w:t>
      </w:r>
    </w:p>
    <w:p w14:paraId="471947CA">
      <w:pPr>
        <w:rPr>
          <w:sz w:val="28"/>
          <w:szCs w:val="28"/>
          <w:highlight w:val="none"/>
        </w:rPr>
      </w:pPr>
    </w:p>
    <w:p w14:paraId="3714A033">
      <w:pPr>
        <w:spacing w:line="360" w:lineRule="auto"/>
        <w:rPr>
          <w:rFonts w:ascii="仿宋_GB2312" w:eastAsia="仿宋_GB2312"/>
          <w:sz w:val="28"/>
          <w:szCs w:val="28"/>
          <w:highlight w:val="none"/>
          <w:u w:val="single"/>
        </w:rPr>
      </w:pPr>
      <w:r>
        <w:rPr>
          <w:rFonts w:hint="eastAsia" w:ascii="仿宋_GB2312" w:eastAsia="仿宋_GB2312"/>
          <w:sz w:val="28"/>
          <w:szCs w:val="28"/>
          <w:highlight w:val="none"/>
        </w:rPr>
        <w:t>单位名称：</w:t>
      </w:r>
    </w:p>
    <w:p w14:paraId="2558BC38">
      <w:pPr>
        <w:spacing w:line="360" w:lineRule="auto"/>
        <w:rPr>
          <w:rFonts w:ascii="仿宋_GB2312" w:eastAsia="仿宋_GB2312"/>
          <w:sz w:val="28"/>
          <w:szCs w:val="28"/>
          <w:highlight w:val="none"/>
          <w:u w:val="single"/>
        </w:rPr>
      </w:pPr>
      <w:r>
        <w:rPr>
          <w:rFonts w:hint="eastAsia" w:ascii="仿宋_GB2312" w:eastAsia="仿宋_GB2312"/>
          <w:sz w:val="28"/>
          <w:szCs w:val="28"/>
          <w:highlight w:val="none"/>
        </w:rPr>
        <w:t>地址：</w:t>
      </w:r>
    </w:p>
    <w:p w14:paraId="203FC9E1">
      <w:pPr>
        <w:spacing w:line="360" w:lineRule="auto"/>
        <w:rPr>
          <w:rFonts w:ascii="仿宋_GB2312" w:eastAsia="仿宋_GB2312"/>
          <w:sz w:val="28"/>
          <w:szCs w:val="28"/>
          <w:highlight w:val="none"/>
        </w:rPr>
      </w:pPr>
      <w:r>
        <w:rPr>
          <w:rFonts w:hint="eastAsia" w:ascii="仿宋_GB2312" w:eastAsia="仿宋_GB2312"/>
          <w:sz w:val="28"/>
          <w:szCs w:val="28"/>
          <w:highlight w:val="none"/>
        </w:rPr>
        <w:t>姓名：    性别：年龄：  职务：   系委托代表人。为施工、竣工和保修项目，签署上述项目的投标文件、进行合同谈判、签署合同和处理与之有关的一切事务。</w:t>
      </w:r>
    </w:p>
    <w:p w14:paraId="33E87984">
      <w:pPr>
        <w:spacing w:line="360" w:lineRule="auto"/>
        <w:rPr>
          <w:rFonts w:ascii="仿宋_GB2312" w:eastAsia="仿宋_GB2312"/>
          <w:sz w:val="28"/>
          <w:szCs w:val="28"/>
          <w:highlight w:val="none"/>
        </w:rPr>
      </w:pPr>
    </w:p>
    <w:p w14:paraId="7FAAEB88">
      <w:pPr>
        <w:spacing w:line="360" w:lineRule="auto"/>
        <w:ind w:firstLine="5460" w:firstLineChars="1950"/>
        <w:rPr>
          <w:rFonts w:ascii="仿宋_GB2312" w:eastAsia="仿宋_GB2312"/>
          <w:sz w:val="28"/>
          <w:szCs w:val="28"/>
          <w:highlight w:val="none"/>
        </w:rPr>
      </w:pPr>
      <w:r>
        <w:rPr>
          <w:rFonts w:hint="eastAsia" w:ascii="仿宋_GB2312" w:eastAsia="仿宋_GB2312"/>
          <w:sz w:val="28"/>
          <w:szCs w:val="28"/>
          <w:highlight w:val="none"/>
        </w:rPr>
        <w:t xml:space="preserve">投标人（盖章）：   </w:t>
      </w:r>
    </w:p>
    <w:p w14:paraId="2EBB78A1">
      <w:pPr>
        <w:spacing w:line="360" w:lineRule="auto"/>
        <w:ind w:firstLine="5740" w:firstLineChars="2050"/>
        <w:rPr>
          <w:rFonts w:ascii="仿宋_GB2312" w:eastAsia="仿宋_GB2312"/>
          <w:sz w:val="28"/>
          <w:szCs w:val="28"/>
          <w:highlight w:val="none"/>
        </w:rPr>
      </w:pPr>
      <w:r>
        <w:rPr>
          <w:rFonts w:hint="eastAsia" w:ascii="仿宋_GB2312" w:eastAsia="仿宋_GB2312"/>
          <w:sz w:val="28"/>
          <w:szCs w:val="28"/>
          <w:highlight w:val="none"/>
        </w:rPr>
        <w:t>年   月  日</w:t>
      </w:r>
    </w:p>
    <w:p w14:paraId="3B310AF1">
      <w:pPr>
        <w:jc w:val="center"/>
        <w:rPr>
          <w:b/>
          <w:sz w:val="28"/>
          <w:szCs w:val="28"/>
          <w:highlight w:val="none"/>
        </w:rPr>
      </w:pPr>
    </w:p>
    <w:p w14:paraId="3D059084">
      <w:pPr>
        <w:jc w:val="center"/>
        <w:rPr>
          <w:b/>
          <w:sz w:val="28"/>
          <w:szCs w:val="28"/>
          <w:highlight w:val="none"/>
        </w:rPr>
      </w:pPr>
    </w:p>
    <w:p w14:paraId="09E5864F">
      <w:pPr>
        <w:jc w:val="center"/>
        <w:rPr>
          <w:b/>
          <w:sz w:val="28"/>
          <w:szCs w:val="28"/>
          <w:highlight w:val="none"/>
        </w:rPr>
      </w:pPr>
      <w:r>
        <w:rPr>
          <w:rFonts w:hint="eastAsia"/>
          <w:b/>
          <w:sz w:val="28"/>
          <w:szCs w:val="28"/>
          <w:highlight w:val="none"/>
        </w:rPr>
        <w:t>三、投标承诺书</w:t>
      </w:r>
    </w:p>
    <w:p w14:paraId="269DB1C4">
      <w:pPr>
        <w:tabs>
          <w:tab w:val="left" w:pos="5355"/>
        </w:tabs>
        <w:spacing w:before="100" w:beforeAutospacing="1" w:after="100" w:afterAutospacing="1" w:line="480" w:lineRule="auto"/>
        <w:ind w:firstLine="560" w:firstLineChars="200"/>
        <w:rPr>
          <w:rFonts w:ascii="仿宋_GB2312" w:hAnsi="宋体" w:eastAsia="仿宋_GB2312" w:cs="宋体"/>
          <w:bCs/>
          <w:sz w:val="28"/>
          <w:szCs w:val="28"/>
          <w:highlight w:val="none"/>
        </w:rPr>
      </w:pPr>
      <w:r>
        <w:rPr>
          <w:rFonts w:hint="eastAsia" w:ascii="仿宋_GB2312" w:hAnsi="宋体" w:eastAsia="仿宋_GB2312" w:cs="宋体"/>
          <w:bCs/>
          <w:sz w:val="28"/>
          <w:szCs w:val="28"/>
          <w:highlight w:val="none"/>
        </w:rPr>
        <w:t>我司承诺对项目的院内公开招标最终确定的综合评定最优结果表示认可，并承诺不会对福建省肿瘤医院在本项目招标过程中的工作模式以及终止本项目招标的可能提出疑议。</w:t>
      </w:r>
    </w:p>
    <w:p w14:paraId="24C4FBED">
      <w:pPr>
        <w:tabs>
          <w:tab w:val="left" w:pos="5355"/>
        </w:tabs>
        <w:spacing w:before="100" w:beforeAutospacing="1" w:after="100" w:afterAutospacing="1" w:line="480" w:lineRule="auto"/>
        <w:ind w:firstLine="560" w:firstLineChars="200"/>
        <w:rPr>
          <w:rFonts w:ascii="仿宋_GB2312" w:hAnsi="宋体" w:eastAsia="仿宋_GB2312" w:cs="宋体"/>
          <w:sz w:val="28"/>
          <w:szCs w:val="28"/>
          <w:highlight w:val="none"/>
        </w:rPr>
      </w:pPr>
      <w:r>
        <w:rPr>
          <w:rFonts w:hint="eastAsia" w:ascii="仿宋_GB2312" w:hAnsi="宋体" w:eastAsia="仿宋_GB2312" w:cs="宋体"/>
          <w:bCs/>
          <w:sz w:val="28"/>
          <w:szCs w:val="28"/>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6D2EC851">
      <w:pPr>
        <w:tabs>
          <w:tab w:val="left" w:pos="5355"/>
        </w:tabs>
        <w:spacing w:before="100" w:beforeAutospacing="1" w:after="100" w:afterAutospacing="1" w:line="480" w:lineRule="auto"/>
        <w:ind w:firstLine="560" w:firstLineChars="200"/>
        <w:rPr>
          <w:rFonts w:ascii="仿宋_GB2312" w:hAnsi="宋体" w:eastAsia="仿宋_GB2312" w:cs="宋体"/>
          <w:sz w:val="28"/>
          <w:szCs w:val="28"/>
          <w:highlight w:val="none"/>
        </w:rPr>
      </w:pPr>
      <w:r>
        <w:rPr>
          <w:rFonts w:hint="eastAsia" w:ascii="仿宋_GB2312" w:hAnsi="宋体" w:eastAsia="仿宋_GB2312" w:cs="宋体"/>
          <w:bCs/>
          <w:sz w:val="28"/>
          <w:szCs w:val="28"/>
          <w:highlight w:val="none"/>
        </w:rPr>
        <w:t>我司承诺福建省肿瘤医院在授予我司合同时有权利增加补充相关内容。</w:t>
      </w:r>
    </w:p>
    <w:p w14:paraId="224A2E52">
      <w:pPr>
        <w:tabs>
          <w:tab w:val="left" w:pos="5355"/>
        </w:tabs>
        <w:spacing w:before="100" w:beforeAutospacing="1" w:after="100" w:afterAutospacing="1" w:line="480" w:lineRule="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投标人名称（全称并加公章）：</w:t>
      </w:r>
    </w:p>
    <w:p w14:paraId="3192F82D">
      <w:pPr>
        <w:tabs>
          <w:tab w:val="left" w:pos="5355"/>
        </w:tabs>
        <w:spacing w:before="100" w:beforeAutospacing="1" w:after="100" w:afterAutospacing="1" w:line="480" w:lineRule="auto"/>
        <w:rPr>
          <w:rFonts w:ascii="仿宋_GB2312" w:hAnsi="宋体" w:eastAsia="仿宋_GB2312" w:cs="宋体"/>
          <w:sz w:val="28"/>
          <w:szCs w:val="28"/>
          <w:highlight w:val="none"/>
        </w:rPr>
      </w:pPr>
      <w:r>
        <w:rPr>
          <w:rFonts w:hint="eastAsia" w:ascii="仿宋_GB2312" w:hAnsi="宋体" w:eastAsia="仿宋_GB2312" w:cs="宋体"/>
          <w:sz w:val="28"/>
          <w:szCs w:val="28"/>
          <w:highlight w:val="none"/>
        </w:rPr>
        <w:t>投标人代表签字：</w:t>
      </w:r>
    </w:p>
    <w:p w14:paraId="6A143403">
      <w:pPr>
        <w:tabs>
          <w:tab w:val="left" w:pos="5355"/>
        </w:tabs>
        <w:spacing w:before="100" w:beforeAutospacing="1" w:after="100" w:afterAutospacing="1" w:line="480" w:lineRule="auto"/>
        <w:rPr>
          <w:b/>
          <w:sz w:val="28"/>
          <w:szCs w:val="28"/>
          <w:highlight w:val="none"/>
        </w:rPr>
      </w:pPr>
      <w:r>
        <w:rPr>
          <w:rFonts w:hint="eastAsia" w:ascii="仿宋_GB2312" w:hAnsi="宋体" w:eastAsia="仿宋_GB2312" w:cs="宋体"/>
          <w:sz w:val="28"/>
          <w:szCs w:val="28"/>
          <w:highlight w:val="none"/>
        </w:rPr>
        <w:t>日期：     年    月   日</w:t>
      </w:r>
    </w:p>
    <w:p w14:paraId="1FAD553A">
      <w:pPr>
        <w:spacing w:line="380" w:lineRule="exact"/>
        <w:rPr>
          <w:rFonts w:ascii="宋体" w:hAnsi="宋体" w:eastAsia="仿宋_GB2312"/>
          <w:sz w:val="28"/>
          <w:szCs w:val="28"/>
          <w:highlight w:val="none"/>
        </w:rPr>
      </w:pPr>
    </w:p>
    <w:p w14:paraId="57F4F59A">
      <w:pPr>
        <w:spacing w:line="380" w:lineRule="exact"/>
        <w:rPr>
          <w:rFonts w:ascii="宋体" w:hAnsi="宋体" w:eastAsia="仿宋_GB2312"/>
          <w:sz w:val="28"/>
          <w:szCs w:val="28"/>
          <w:highlight w:val="none"/>
        </w:rPr>
      </w:pPr>
    </w:p>
    <w:p w14:paraId="7194C4C9">
      <w:pPr>
        <w:rPr>
          <w:rFonts w:hint="eastAsia" w:ascii="宋体" w:hAnsi="宋体"/>
          <w:b/>
          <w:sz w:val="28"/>
          <w:szCs w:val="28"/>
          <w:highlight w:val="none"/>
        </w:rPr>
      </w:pPr>
      <w:r>
        <w:rPr>
          <w:rFonts w:hint="eastAsia" w:ascii="宋体" w:hAnsi="宋体"/>
          <w:b/>
          <w:sz w:val="28"/>
          <w:szCs w:val="28"/>
          <w:highlight w:val="none"/>
        </w:rPr>
        <w:br w:type="page"/>
      </w:r>
    </w:p>
    <w:p w14:paraId="2CCF7ED3">
      <w:pPr>
        <w:spacing w:line="380" w:lineRule="exact"/>
        <w:rPr>
          <w:rFonts w:hint="eastAsia" w:ascii="宋体" w:hAnsi="宋体" w:eastAsia="宋体"/>
          <w:sz w:val="28"/>
          <w:szCs w:val="28"/>
          <w:highlight w:val="none"/>
        </w:rPr>
      </w:pPr>
    </w:p>
    <w:p w14:paraId="2F41350D">
      <w:pPr>
        <w:jc w:val="center"/>
        <w:rPr>
          <w:rFonts w:hint="eastAsia" w:asciiTheme="minorEastAsia" w:hAnsiTheme="minorEastAsia" w:eastAsiaTheme="minorEastAsia"/>
          <w:b/>
          <w:sz w:val="28"/>
          <w:szCs w:val="28"/>
          <w:highlight w:val="none"/>
        </w:rPr>
      </w:pPr>
      <w:r>
        <w:rPr>
          <w:rFonts w:asciiTheme="minorEastAsia" w:hAnsiTheme="minorEastAsia" w:eastAsiaTheme="minorEastAsia"/>
          <w:b/>
          <w:sz w:val="28"/>
          <w:szCs w:val="28"/>
          <w:highlight w:val="none"/>
        </w:rPr>
        <w:t>四、采购供应商资格承诺函</w:t>
      </w:r>
    </w:p>
    <w:p w14:paraId="739D09BD">
      <w:pPr>
        <w:pStyle w:val="47"/>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致：（采购人或采购代理机构）</w:t>
      </w:r>
    </w:p>
    <w:p w14:paraId="6A8B8594">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单位名称(自然人姓名):</w:t>
      </w:r>
    </w:p>
    <w:p w14:paraId="05906A97">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统一社会信用代码(自然人身份证号码):</w:t>
      </w:r>
    </w:p>
    <w:p w14:paraId="1055E4F2">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法定代表人(负责人):</w:t>
      </w:r>
    </w:p>
    <w:p w14:paraId="4A3CD355">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联系地址和电话:</w:t>
      </w:r>
    </w:p>
    <w:p w14:paraId="1A843F4B">
      <w:pPr>
        <w:pStyle w:val="47"/>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我单位(本人)自愿参加本次政府采购活动，严格遵守《中华人民共和国政府采购法》及相关法律法规，坚守公开、公平公正和诚实信用等原则，依法诚信经营，并郑重承诺:</w:t>
      </w:r>
    </w:p>
    <w:p w14:paraId="5E7CEACC">
      <w:pPr>
        <w:pStyle w:val="47"/>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一、我单位(本人)具备采购文件要求以及《中华人民共和国政府采购法》第二十二条规定的条件:</w:t>
      </w:r>
    </w:p>
    <w:p w14:paraId="79488A0B">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1.具有独立承担民事责任的能力;</w:t>
      </w:r>
    </w:p>
    <w:p w14:paraId="6EE4C473">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2.具有良好的商业信誉和健全的财务会计制度;</w:t>
      </w:r>
    </w:p>
    <w:p w14:paraId="595164BD">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3.具有履行合同所必需的设备和专业技术能力;</w:t>
      </w:r>
    </w:p>
    <w:p w14:paraId="22929555">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4.有依法缴纳税收和社会保障资金的良好记录;</w:t>
      </w:r>
    </w:p>
    <w:p w14:paraId="6C779C38">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5.参加政府采购活动前三年内，在经营活动中没有重大违法记录；</w:t>
      </w:r>
    </w:p>
    <w:p w14:paraId="43B0EEFA">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6.法律、行政法规规定的其他条件。</w:t>
      </w:r>
    </w:p>
    <w:p w14:paraId="75CCD68B">
      <w:pPr>
        <w:pStyle w:val="47"/>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4F77A6">
      <w:pPr>
        <w:pStyle w:val="47"/>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9ADFD89">
      <w:pPr>
        <w:pStyle w:val="47"/>
        <w:ind w:firstLine="480"/>
        <w:jc w:val="right"/>
        <w:rPr>
          <w:rFonts w:cs="宋体" w:asciiTheme="minorEastAsia" w:hAnsiTheme="minorEastAsia" w:eastAsiaTheme="minorEastAsia"/>
          <w:bCs/>
          <w:highlight w:val="none"/>
        </w:rPr>
      </w:pPr>
      <w:r>
        <w:rPr>
          <w:rFonts w:cs="宋体" w:asciiTheme="minorEastAsia" w:hAnsiTheme="minorEastAsia" w:eastAsiaTheme="minorEastAsia"/>
          <w:bCs/>
          <w:highlight w:val="none"/>
        </w:rPr>
        <w:t>供应商：名称(单位公章):</w:t>
      </w:r>
    </w:p>
    <w:p w14:paraId="02E44FA2">
      <w:pPr>
        <w:pStyle w:val="47"/>
        <w:ind w:firstLine="480"/>
        <w:jc w:val="right"/>
        <w:rPr>
          <w:rFonts w:cs="宋体" w:asciiTheme="minorEastAsia" w:hAnsiTheme="minorEastAsia" w:eastAsiaTheme="minorEastAsia"/>
          <w:bCs/>
          <w:highlight w:val="none"/>
        </w:rPr>
      </w:pPr>
      <w:r>
        <w:rPr>
          <w:rFonts w:cs="宋体" w:asciiTheme="minorEastAsia" w:hAnsiTheme="minorEastAsia" w:eastAsiaTheme="minorEastAsia"/>
          <w:bCs/>
          <w:highlight w:val="none"/>
        </w:rPr>
        <w:t>日期：　　年　　月　　日</w:t>
      </w:r>
    </w:p>
    <w:p w14:paraId="0BCFABAF">
      <w:pPr>
        <w:pStyle w:val="47"/>
        <w:ind w:firstLine="480"/>
        <w:rPr>
          <w:rFonts w:cs="宋体" w:asciiTheme="minorEastAsia" w:hAnsiTheme="minorEastAsia" w:eastAsiaTheme="minorEastAsia"/>
          <w:bCs/>
          <w:highlight w:val="none"/>
        </w:rPr>
      </w:pPr>
      <w:r>
        <w:rPr>
          <w:rFonts w:cs="宋体" w:asciiTheme="minorEastAsia" w:hAnsiTheme="minorEastAsia" w:eastAsiaTheme="minorEastAsia"/>
          <w:bCs/>
          <w:highlight w:val="none"/>
        </w:rPr>
        <w:t>注：</w:t>
      </w:r>
    </w:p>
    <w:p w14:paraId="38FA0409">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1.我单位(本人)专指参加政府采购活动的供应商(含自然人)；</w:t>
      </w:r>
    </w:p>
    <w:p w14:paraId="6A79A539">
      <w:pPr>
        <w:pStyle w:val="47"/>
        <w:ind w:firstLine="960"/>
        <w:rPr>
          <w:rFonts w:cs="宋体" w:asciiTheme="minorEastAsia" w:hAnsiTheme="minorEastAsia" w:eastAsiaTheme="minorEastAsia"/>
          <w:bCs/>
          <w:highlight w:val="none"/>
        </w:rPr>
      </w:pPr>
      <w:r>
        <w:rPr>
          <w:rFonts w:cs="宋体" w:asciiTheme="minorEastAsia" w:hAnsiTheme="minorEastAsia" w:eastAsiaTheme="minorEastAsia"/>
          <w:bCs/>
          <w:highlight w:val="none"/>
        </w:rPr>
        <w:t>2.资格承诺的供应商应在投标(响应)文件中按此模板提供承诺函，否则，视为未按照招标文件规定提交投标人的资格及资信文件，按资格审查不通过处理。</w:t>
      </w:r>
    </w:p>
    <w:p w14:paraId="402A4AA7">
      <w:pPr>
        <w:spacing w:line="380" w:lineRule="exact"/>
        <w:ind w:firstLine="560" w:firstLineChars="200"/>
        <w:rPr>
          <w:rFonts w:ascii="宋体" w:hAnsi="宋体" w:eastAsia="仿宋_GB2312"/>
          <w:sz w:val="28"/>
          <w:szCs w:val="28"/>
          <w:highlight w:val="none"/>
        </w:rPr>
      </w:pPr>
    </w:p>
    <w:p w14:paraId="294AFFB6">
      <w:pPr>
        <w:rPr>
          <w:rFonts w:hint="eastAsia" w:ascii="宋体" w:hAnsi="宋体"/>
          <w:b/>
          <w:sz w:val="30"/>
          <w:szCs w:val="30"/>
          <w:highlight w:val="none"/>
        </w:rPr>
      </w:pPr>
      <w:r>
        <w:rPr>
          <w:rFonts w:hint="eastAsia" w:ascii="宋体" w:hAnsi="宋体"/>
          <w:b/>
          <w:sz w:val="30"/>
          <w:szCs w:val="30"/>
          <w:highlight w:val="none"/>
        </w:rPr>
        <w:br w:type="page"/>
      </w:r>
    </w:p>
    <w:p w14:paraId="45DD6EF9">
      <w:pPr>
        <w:tabs>
          <w:tab w:val="left" w:pos="1600"/>
        </w:tabs>
        <w:spacing w:line="560" w:lineRule="exact"/>
        <w:ind w:left="330" w:firstLine="240"/>
        <w:jc w:val="center"/>
        <w:rPr>
          <w:rFonts w:ascii="宋体" w:hAnsi="宋体"/>
          <w:b/>
          <w:sz w:val="30"/>
          <w:szCs w:val="30"/>
          <w:highlight w:val="none"/>
        </w:rPr>
      </w:pPr>
      <w:r>
        <w:rPr>
          <w:rFonts w:hint="eastAsia" w:ascii="宋体" w:hAnsi="宋体"/>
          <w:b/>
          <w:sz w:val="30"/>
          <w:szCs w:val="30"/>
          <w:highlight w:val="none"/>
          <w:lang w:val="en-US" w:eastAsia="zh-CN"/>
        </w:rPr>
        <w:t>五</w:t>
      </w:r>
      <w:r>
        <w:rPr>
          <w:rFonts w:hint="eastAsia" w:ascii="宋体" w:hAnsi="宋体"/>
          <w:b/>
          <w:sz w:val="30"/>
          <w:szCs w:val="30"/>
          <w:highlight w:val="none"/>
        </w:rPr>
        <w:t>、投标人提交的其它材料</w:t>
      </w:r>
    </w:p>
    <w:p w14:paraId="1297035B">
      <w:pPr>
        <w:spacing w:line="220" w:lineRule="atLeast"/>
        <w:rPr>
          <w:rFonts w:ascii="宋体" w:hAnsi="宋体" w:eastAsia="仿宋_GB2312"/>
          <w:sz w:val="28"/>
          <w:szCs w:val="28"/>
          <w:highlight w:val="none"/>
        </w:rPr>
      </w:pPr>
    </w:p>
    <w:p w14:paraId="2F275932">
      <w:pPr>
        <w:rPr>
          <w:highlight w:val="none"/>
        </w:rPr>
      </w:pPr>
    </w:p>
    <w:p w14:paraId="5B9A0139">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160D8"/>
    <w:multiLevelType w:val="singleLevel"/>
    <w:tmpl w:val="C5C160D8"/>
    <w:lvl w:ilvl="0" w:tentative="0">
      <w:start w:val="1"/>
      <w:numFmt w:val="decimal"/>
      <w:lvlText w:val="%1."/>
      <w:lvlJc w:val="left"/>
      <w:pPr>
        <w:ind w:left="425" w:hanging="425"/>
      </w:pPr>
      <w:rPr>
        <w:rFonts w:hint="default"/>
      </w:rPr>
    </w:lvl>
  </w:abstractNum>
  <w:abstractNum w:abstractNumId="1">
    <w:nsid w:val="372123A1"/>
    <w:multiLevelType w:val="multilevel"/>
    <w:tmpl w:val="372123A1"/>
    <w:lvl w:ilvl="0" w:tentative="0">
      <w:start w:val="1"/>
      <w:numFmt w:val="decimal"/>
      <w:lvlText w:val="%1."/>
      <w:lvlJc w:val="left"/>
      <w:pPr>
        <w:ind w:left="830" w:hanging="440"/>
      </w:p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2">
    <w:nsid w:val="50AE6D90"/>
    <w:multiLevelType w:val="multilevel"/>
    <w:tmpl w:val="50AE6D90"/>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3">
    <w:nsid w:val="5F378D0F"/>
    <w:multiLevelType w:val="singleLevel"/>
    <w:tmpl w:val="5F378D0F"/>
    <w:lvl w:ilvl="0" w:tentative="0">
      <w:start w:val="1"/>
      <w:numFmt w:val="decimal"/>
      <w:lvlText w:val="%1."/>
      <w:lvlJc w:val="left"/>
      <w:pPr>
        <w:ind w:left="425" w:hanging="425"/>
      </w:pPr>
      <w:rPr>
        <w:rFonts w:hint="default"/>
      </w:rPr>
    </w:lvl>
  </w:abstractNum>
  <w:abstractNum w:abstractNumId="4">
    <w:nsid w:val="74AF2DF7"/>
    <w:multiLevelType w:val="multilevel"/>
    <w:tmpl w:val="74AF2DF7"/>
    <w:lvl w:ilvl="0" w:tentative="0">
      <w:start w:val="1"/>
      <w:numFmt w:val="decimal"/>
      <w:lvlText w:val="%1."/>
      <w:lvlJc w:val="left"/>
      <w:pPr>
        <w:ind w:left="830" w:hanging="440"/>
      </w:p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5">
    <w:nsid w:val="75EE7788"/>
    <w:multiLevelType w:val="multilevel"/>
    <w:tmpl w:val="75EE7788"/>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6">
    <w:nsid w:val="779E48CE"/>
    <w:multiLevelType w:val="multilevel"/>
    <w:tmpl w:val="779E48CE"/>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num w:numId="1">
    <w:abstractNumId w:val="5"/>
  </w:num>
  <w:num w:numId="2">
    <w:abstractNumId w:val="1"/>
  </w:num>
  <w:num w:numId="3">
    <w:abstractNumId w:val="4"/>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jNjYzViNGQwNmIzZWU5ZmY5OGFhMzA5YTVmNTUifQ=="/>
  </w:docVars>
  <w:rsids>
    <w:rsidRoot w:val="00925EA8"/>
    <w:rsid w:val="00013AC5"/>
    <w:rsid w:val="000176FA"/>
    <w:rsid w:val="000320C1"/>
    <w:rsid w:val="000A52FF"/>
    <w:rsid w:val="000B3136"/>
    <w:rsid w:val="000D002C"/>
    <w:rsid w:val="000E02B3"/>
    <w:rsid w:val="000F6AB4"/>
    <w:rsid w:val="00100B90"/>
    <w:rsid w:val="001974A4"/>
    <w:rsid w:val="001C16F6"/>
    <w:rsid w:val="00211344"/>
    <w:rsid w:val="004344FA"/>
    <w:rsid w:val="004A7C9A"/>
    <w:rsid w:val="004C2B78"/>
    <w:rsid w:val="00500740"/>
    <w:rsid w:val="00545471"/>
    <w:rsid w:val="00575750"/>
    <w:rsid w:val="0058679B"/>
    <w:rsid w:val="005F4D92"/>
    <w:rsid w:val="00620EA6"/>
    <w:rsid w:val="006575E2"/>
    <w:rsid w:val="006841D4"/>
    <w:rsid w:val="007017C3"/>
    <w:rsid w:val="0071695C"/>
    <w:rsid w:val="007A3BC9"/>
    <w:rsid w:val="00827F17"/>
    <w:rsid w:val="00861407"/>
    <w:rsid w:val="008926BB"/>
    <w:rsid w:val="008F04C5"/>
    <w:rsid w:val="008F50A2"/>
    <w:rsid w:val="00925EA8"/>
    <w:rsid w:val="009B089F"/>
    <w:rsid w:val="00A01F6B"/>
    <w:rsid w:val="00A13103"/>
    <w:rsid w:val="00AB5F12"/>
    <w:rsid w:val="00B02446"/>
    <w:rsid w:val="00B53767"/>
    <w:rsid w:val="00B5576B"/>
    <w:rsid w:val="00B82747"/>
    <w:rsid w:val="00C54FFE"/>
    <w:rsid w:val="00C666E8"/>
    <w:rsid w:val="00CA76F7"/>
    <w:rsid w:val="00D56868"/>
    <w:rsid w:val="00D910B2"/>
    <w:rsid w:val="00E360F1"/>
    <w:rsid w:val="00EE41A9"/>
    <w:rsid w:val="00FD1894"/>
    <w:rsid w:val="01B043B5"/>
    <w:rsid w:val="0325208B"/>
    <w:rsid w:val="03B02B5A"/>
    <w:rsid w:val="056F5558"/>
    <w:rsid w:val="08A94889"/>
    <w:rsid w:val="0D083675"/>
    <w:rsid w:val="13BD53DD"/>
    <w:rsid w:val="160E0421"/>
    <w:rsid w:val="17EA0A1A"/>
    <w:rsid w:val="1AF30046"/>
    <w:rsid w:val="1C786DE1"/>
    <w:rsid w:val="24EC3AC5"/>
    <w:rsid w:val="25F73270"/>
    <w:rsid w:val="2B195446"/>
    <w:rsid w:val="2BEF61A7"/>
    <w:rsid w:val="2CE618B6"/>
    <w:rsid w:val="2D74604A"/>
    <w:rsid w:val="2EE30F1C"/>
    <w:rsid w:val="36FC6994"/>
    <w:rsid w:val="38F54FFF"/>
    <w:rsid w:val="3ACA3AED"/>
    <w:rsid w:val="3E344619"/>
    <w:rsid w:val="3E481E73"/>
    <w:rsid w:val="449B7B36"/>
    <w:rsid w:val="45BE0AF7"/>
    <w:rsid w:val="496D6C31"/>
    <w:rsid w:val="51A828AA"/>
    <w:rsid w:val="53171462"/>
    <w:rsid w:val="659E006D"/>
    <w:rsid w:val="69912070"/>
    <w:rsid w:val="78A21BA4"/>
    <w:rsid w:val="7A5927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4">
    <w:name w:val="heading 2"/>
    <w:basedOn w:val="1"/>
    <w:next w:val="1"/>
    <w:link w:val="27"/>
    <w:unhideWhenUsed/>
    <w:qFormat/>
    <w:uiPriority w:val="0"/>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5">
    <w:name w:val="heading 3"/>
    <w:basedOn w:val="1"/>
    <w:next w:val="1"/>
    <w:link w:val="28"/>
    <w:semiHidden/>
    <w:unhideWhenUsed/>
    <w:qFormat/>
    <w:uiPriority w:val="0"/>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6">
    <w:name w:val="heading 4"/>
    <w:basedOn w:val="1"/>
    <w:next w:val="1"/>
    <w:link w:val="29"/>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7">
    <w:name w:val="heading 5"/>
    <w:basedOn w:val="1"/>
    <w:next w:val="1"/>
    <w:link w:val="30"/>
    <w:semiHidden/>
    <w:unhideWhenUsed/>
    <w:qFormat/>
    <w:uiPriority w:val="9"/>
    <w:pPr>
      <w:keepNext/>
      <w:keepLines/>
      <w:spacing w:before="80" w:after="40"/>
      <w:outlineLvl w:val="4"/>
    </w:pPr>
    <w:rPr>
      <w:rFonts w:cstheme="majorBidi"/>
      <w:color w:val="376092" w:themeColor="accent1" w:themeShade="BF"/>
      <w:sz w:val="24"/>
      <w:szCs w:val="24"/>
    </w:rPr>
  </w:style>
  <w:style w:type="paragraph" w:styleId="8">
    <w:name w:val="heading 6"/>
    <w:basedOn w:val="1"/>
    <w:next w:val="1"/>
    <w:link w:val="31"/>
    <w:semiHidden/>
    <w:unhideWhenUsed/>
    <w:qFormat/>
    <w:uiPriority w:val="9"/>
    <w:pPr>
      <w:keepNext/>
      <w:keepLines/>
      <w:spacing w:before="40"/>
      <w:outlineLvl w:val="5"/>
    </w:pPr>
    <w:rPr>
      <w:rFonts w:cstheme="majorBidi"/>
      <w:b/>
      <w:bCs/>
      <w:color w:val="376092" w:themeColor="accent1" w:themeShade="BF"/>
    </w:rPr>
  </w:style>
  <w:style w:type="paragraph" w:styleId="9">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0"/>
    <w:semiHidden/>
    <w:unhideWhenUsed/>
    <w:qFormat/>
    <w:uiPriority w:val="99"/>
    <w:pPr>
      <w:spacing w:after="120"/>
    </w:pPr>
  </w:style>
  <w:style w:type="paragraph" w:styleId="12">
    <w:name w:val="Normal Indent"/>
    <w:basedOn w:val="1"/>
    <w:link w:val="48"/>
    <w:qFormat/>
    <w:uiPriority w:val="0"/>
    <w:pPr>
      <w:adjustRightInd/>
      <w:snapToGrid/>
      <w:spacing w:after="0"/>
      <w:ind w:firstLine="420"/>
    </w:pPr>
    <w:rPr>
      <w:rFonts w:ascii="Times New Roman" w:hAnsi="Times New Roman" w:eastAsia="宋体"/>
      <w:sz w:val="20"/>
      <w:szCs w:val="20"/>
    </w:rPr>
  </w:style>
  <w:style w:type="paragraph" w:styleId="13">
    <w:name w:val="Balloon Text"/>
    <w:basedOn w:val="1"/>
    <w:link w:val="53"/>
    <w:semiHidden/>
    <w:unhideWhenUsed/>
    <w:qFormat/>
    <w:uiPriority w:val="99"/>
    <w:pPr>
      <w:spacing w:after="0"/>
    </w:pPr>
    <w:rPr>
      <w:sz w:val="18"/>
      <w:szCs w:val="18"/>
    </w:rPr>
  </w:style>
  <w:style w:type="paragraph" w:styleId="14">
    <w:name w:val="footer"/>
    <w:basedOn w:val="1"/>
    <w:link w:val="45"/>
    <w:unhideWhenUsed/>
    <w:qFormat/>
    <w:uiPriority w:val="99"/>
    <w:pPr>
      <w:tabs>
        <w:tab w:val="center" w:pos="4153"/>
        <w:tab w:val="right" w:pos="8306"/>
      </w:tabs>
    </w:pPr>
    <w:rPr>
      <w:sz w:val="18"/>
      <w:szCs w:val="18"/>
    </w:rPr>
  </w:style>
  <w:style w:type="paragraph" w:styleId="15">
    <w:name w:val="header"/>
    <w:basedOn w:val="1"/>
    <w:link w:val="44"/>
    <w:unhideWhenUsed/>
    <w:qFormat/>
    <w:uiPriority w:val="99"/>
    <w:pPr>
      <w:tabs>
        <w:tab w:val="center" w:pos="4153"/>
        <w:tab w:val="right" w:pos="8306"/>
      </w:tabs>
      <w:jc w:val="center"/>
    </w:pPr>
    <w:rPr>
      <w:sz w:val="18"/>
      <w:szCs w:val="18"/>
    </w:rPr>
  </w:style>
  <w:style w:type="paragraph" w:styleId="16">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2"/>
    <w:basedOn w:val="1"/>
    <w:link w:val="46"/>
    <w:qFormat/>
    <w:uiPriority w:val="0"/>
    <w:pPr>
      <w:spacing w:after="120" w:line="480" w:lineRule="auto"/>
    </w:pPr>
  </w:style>
  <w:style w:type="paragraph" w:styleId="18">
    <w:name w:val="HTML Preformatted"/>
    <w:basedOn w:val="1"/>
    <w:link w:val="4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sz w:val="24"/>
      <w:szCs w:val="24"/>
    </w:rPr>
  </w:style>
  <w:style w:type="paragraph" w:styleId="19">
    <w:name w:val="Normal (Web)"/>
    <w:basedOn w:val="1"/>
    <w:unhideWhenUsed/>
    <w:qFormat/>
    <w:uiPriority w:val="99"/>
    <w:pPr>
      <w:spacing w:before="100" w:beforeAutospacing="1" w:after="100" w:afterAutospacing="1"/>
    </w:pPr>
    <w:rPr>
      <w:sz w:val="24"/>
    </w:rPr>
  </w:style>
  <w:style w:type="paragraph" w:styleId="20">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Body Text First Indent"/>
    <w:basedOn w:val="2"/>
    <w:link w:val="51"/>
    <w:unhideWhenUsed/>
    <w:qFormat/>
    <w:uiPriority w:val="0"/>
    <w:pPr>
      <w:ind w:firstLine="420" w:firstLineChars="100"/>
    </w:pPr>
  </w:style>
  <w:style w:type="table" w:styleId="23">
    <w:name w:val="Table Grid"/>
    <w:basedOn w:val="22"/>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customStyle="1" w:styleId="26">
    <w:name w:val="标题 1 Char"/>
    <w:basedOn w:val="24"/>
    <w:link w:val="3"/>
    <w:qFormat/>
    <w:uiPriority w:val="9"/>
    <w:rPr>
      <w:rFonts w:asciiTheme="majorHAnsi" w:hAnsiTheme="majorHAnsi" w:eastAsiaTheme="majorEastAsia" w:cstheme="majorBidi"/>
      <w:color w:val="376092" w:themeColor="accent1" w:themeShade="BF"/>
      <w:sz w:val="48"/>
      <w:szCs w:val="48"/>
    </w:rPr>
  </w:style>
  <w:style w:type="character" w:customStyle="1" w:styleId="27">
    <w:name w:val="标题 2 Char"/>
    <w:basedOn w:val="24"/>
    <w:link w:val="4"/>
    <w:qFormat/>
    <w:uiPriority w:val="0"/>
    <w:rPr>
      <w:rFonts w:asciiTheme="majorHAnsi" w:hAnsiTheme="majorHAnsi" w:eastAsiaTheme="majorEastAsia" w:cstheme="majorBidi"/>
      <w:color w:val="376092" w:themeColor="accent1" w:themeShade="BF"/>
      <w:sz w:val="40"/>
      <w:szCs w:val="40"/>
    </w:rPr>
  </w:style>
  <w:style w:type="character" w:customStyle="1" w:styleId="28">
    <w:name w:val="标题 3 Char"/>
    <w:basedOn w:val="24"/>
    <w:link w:val="5"/>
    <w:semiHidden/>
    <w:qFormat/>
    <w:uiPriority w:val="0"/>
    <w:rPr>
      <w:rFonts w:asciiTheme="majorHAnsi" w:hAnsiTheme="majorHAnsi" w:eastAsiaTheme="majorEastAsia" w:cstheme="majorBidi"/>
      <w:color w:val="376092" w:themeColor="accent1" w:themeShade="BF"/>
      <w:sz w:val="32"/>
      <w:szCs w:val="32"/>
    </w:rPr>
  </w:style>
  <w:style w:type="character" w:customStyle="1" w:styleId="29">
    <w:name w:val="标题 4 Char"/>
    <w:basedOn w:val="24"/>
    <w:link w:val="6"/>
    <w:semiHidden/>
    <w:qFormat/>
    <w:uiPriority w:val="9"/>
    <w:rPr>
      <w:rFonts w:cstheme="majorBidi"/>
      <w:color w:val="376092" w:themeColor="accent1" w:themeShade="BF"/>
      <w:sz w:val="28"/>
      <w:szCs w:val="28"/>
    </w:rPr>
  </w:style>
  <w:style w:type="character" w:customStyle="1" w:styleId="30">
    <w:name w:val="标题 5 Char"/>
    <w:basedOn w:val="24"/>
    <w:link w:val="7"/>
    <w:semiHidden/>
    <w:qFormat/>
    <w:uiPriority w:val="9"/>
    <w:rPr>
      <w:rFonts w:cstheme="majorBidi"/>
      <w:color w:val="376092" w:themeColor="accent1" w:themeShade="BF"/>
      <w:sz w:val="24"/>
      <w:szCs w:val="24"/>
    </w:rPr>
  </w:style>
  <w:style w:type="character" w:customStyle="1" w:styleId="31">
    <w:name w:val="标题 6 Char"/>
    <w:basedOn w:val="24"/>
    <w:link w:val="8"/>
    <w:semiHidden/>
    <w:qFormat/>
    <w:uiPriority w:val="9"/>
    <w:rPr>
      <w:rFonts w:cstheme="majorBidi"/>
      <w:b/>
      <w:bCs/>
      <w:color w:val="376092" w:themeColor="accent1" w:themeShade="BF"/>
    </w:rPr>
  </w:style>
  <w:style w:type="character" w:customStyle="1" w:styleId="32">
    <w:name w:val="标题 7 Char"/>
    <w:basedOn w:val="24"/>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Char"/>
    <w:basedOn w:val="24"/>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Char"/>
    <w:basedOn w:val="24"/>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Char"/>
    <w:basedOn w:val="24"/>
    <w:link w:val="20"/>
    <w:qFormat/>
    <w:uiPriority w:val="10"/>
    <w:rPr>
      <w:rFonts w:asciiTheme="majorHAnsi" w:hAnsiTheme="majorHAnsi" w:eastAsiaTheme="majorEastAsia" w:cstheme="majorBidi"/>
      <w:spacing w:val="-10"/>
      <w:kern w:val="28"/>
      <w:sz w:val="56"/>
      <w:szCs w:val="56"/>
    </w:rPr>
  </w:style>
  <w:style w:type="character" w:customStyle="1" w:styleId="36">
    <w:name w:val="副标题 Char"/>
    <w:basedOn w:val="24"/>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Char"/>
    <w:basedOn w:val="24"/>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99"/>
    <w:pPr>
      <w:ind w:left="720"/>
      <w:contextualSpacing/>
    </w:pPr>
  </w:style>
  <w:style w:type="character" w:customStyle="1" w:styleId="40">
    <w:name w:val="Intense Emphasis"/>
    <w:basedOn w:val="24"/>
    <w:qFormat/>
    <w:uiPriority w:val="21"/>
    <w:rPr>
      <w:i/>
      <w:iCs/>
      <w:color w:val="376092" w:themeColor="accent1" w:themeShade="BF"/>
    </w:rPr>
  </w:style>
  <w:style w:type="paragraph" w:styleId="41">
    <w:name w:val="Intense Quote"/>
    <w:basedOn w:val="1"/>
    <w:next w:val="1"/>
    <w:link w:val="42"/>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42">
    <w:name w:val="明显引用 Char"/>
    <w:basedOn w:val="24"/>
    <w:link w:val="41"/>
    <w:qFormat/>
    <w:uiPriority w:val="30"/>
    <w:rPr>
      <w:i/>
      <w:iCs/>
      <w:color w:val="376092" w:themeColor="accent1" w:themeShade="BF"/>
    </w:rPr>
  </w:style>
  <w:style w:type="character" w:customStyle="1" w:styleId="43">
    <w:name w:val="Intense Reference"/>
    <w:basedOn w:val="24"/>
    <w:qFormat/>
    <w:uiPriority w:val="32"/>
    <w:rPr>
      <w:b/>
      <w:bCs/>
      <w:smallCaps/>
      <w:color w:val="376092" w:themeColor="accent1" w:themeShade="BF"/>
      <w:spacing w:val="5"/>
    </w:rPr>
  </w:style>
  <w:style w:type="character" w:customStyle="1" w:styleId="44">
    <w:name w:val="页眉 Char"/>
    <w:basedOn w:val="24"/>
    <w:link w:val="15"/>
    <w:qFormat/>
    <w:uiPriority w:val="99"/>
    <w:rPr>
      <w:sz w:val="18"/>
      <w:szCs w:val="18"/>
    </w:rPr>
  </w:style>
  <w:style w:type="character" w:customStyle="1" w:styleId="45">
    <w:name w:val="页脚 Char"/>
    <w:basedOn w:val="24"/>
    <w:link w:val="14"/>
    <w:qFormat/>
    <w:uiPriority w:val="99"/>
    <w:rPr>
      <w:sz w:val="18"/>
      <w:szCs w:val="18"/>
    </w:rPr>
  </w:style>
  <w:style w:type="character" w:customStyle="1" w:styleId="46">
    <w:name w:val="正文文本 2 Char"/>
    <w:basedOn w:val="24"/>
    <w:link w:val="17"/>
    <w:qFormat/>
    <w:uiPriority w:val="0"/>
    <w:rPr>
      <w:rFonts w:ascii="Tahoma" w:hAnsi="Tahoma" w:eastAsia="微软雅黑" w:cs="Times New Roman"/>
      <w:kern w:val="0"/>
      <w:sz w:val="22"/>
    </w:rPr>
  </w:style>
  <w:style w:type="paragraph" w:customStyle="1" w:styleId="47">
    <w:name w:val="null3"/>
    <w:qFormat/>
    <w:uiPriority w:val="0"/>
    <w:rPr>
      <w:rFonts w:hint="eastAsia" w:ascii="Calibri" w:hAnsi="Calibri" w:eastAsia="宋体" w:cs="Times New Roman"/>
      <w:kern w:val="0"/>
      <w:sz w:val="20"/>
      <w:szCs w:val="20"/>
      <w:lang w:val="en-US" w:eastAsia="zh-CN" w:bidi="ar-SA"/>
    </w:rPr>
  </w:style>
  <w:style w:type="character" w:customStyle="1" w:styleId="48">
    <w:name w:val="正文缩进 Char"/>
    <w:link w:val="12"/>
    <w:qFormat/>
    <w:uiPriority w:val="0"/>
    <w:rPr>
      <w:rFonts w:ascii="Times New Roman" w:hAnsi="Times New Roman" w:eastAsia="宋体" w:cs="Times New Roman"/>
      <w:kern w:val="0"/>
      <w:sz w:val="20"/>
      <w:szCs w:val="20"/>
    </w:rPr>
  </w:style>
  <w:style w:type="character" w:customStyle="1" w:styleId="49">
    <w:name w:val="HTML 预设格式 Char"/>
    <w:basedOn w:val="24"/>
    <w:link w:val="18"/>
    <w:qFormat/>
    <w:uiPriority w:val="0"/>
    <w:rPr>
      <w:rFonts w:ascii="宋体" w:hAnsi="宋体" w:eastAsia="宋体" w:cs="Times New Roman"/>
      <w:kern w:val="0"/>
      <w:sz w:val="24"/>
      <w:szCs w:val="24"/>
    </w:rPr>
  </w:style>
  <w:style w:type="character" w:customStyle="1" w:styleId="50">
    <w:name w:val="正文文本 Char"/>
    <w:basedOn w:val="24"/>
    <w:link w:val="2"/>
    <w:semiHidden/>
    <w:qFormat/>
    <w:uiPriority w:val="99"/>
    <w:rPr>
      <w:rFonts w:ascii="Tahoma" w:hAnsi="Tahoma" w:eastAsia="微软雅黑" w:cs="Times New Roman"/>
      <w:kern w:val="0"/>
      <w:sz w:val="22"/>
    </w:rPr>
  </w:style>
  <w:style w:type="character" w:customStyle="1" w:styleId="51">
    <w:name w:val="正文首行缩进 Char"/>
    <w:basedOn w:val="50"/>
    <w:link w:val="21"/>
    <w:qFormat/>
    <w:uiPriority w:val="0"/>
    <w:rPr>
      <w:rFonts w:ascii="Tahoma" w:hAnsi="Tahoma" w:eastAsia="微软雅黑" w:cs="Times New Roman"/>
      <w:kern w:val="0"/>
      <w:sz w:val="22"/>
    </w:rPr>
  </w:style>
  <w:style w:type="character" w:customStyle="1" w:styleId="52">
    <w:name w:val="font21"/>
    <w:basedOn w:val="24"/>
    <w:autoRedefine/>
    <w:qFormat/>
    <w:uiPriority w:val="0"/>
    <w:rPr>
      <w:rFonts w:hint="eastAsia" w:ascii="宋体" w:hAnsi="宋体" w:eastAsia="宋体" w:cs="宋体"/>
      <w:color w:val="000000"/>
      <w:sz w:val="22"/>
      <w:szCs w:val="22"/>
      <w:u w:val="none"/>
    </w:rPr>
  </w:style>
  <w:style w:type="character" w:customStyle="1" w:styleId="53">
    <w:name w:val="批注框文本 Char"/>
    <w:basedOn w:val="24"/>
    <w:link w:val="13"/>
    <w:semiHidden/>
    <w:qFormat/>
    <w:uiPriority w:val="99"/>
    <w:rPr>
      <w:rFonts w:ascii="Tahoma" w:hAnsi="Tahoma" w:eastAsia="微软雅黑" w:cs="Times New Roman"/>
      <w:kern w:val="0"/>
      <w:sz w:val="18"/>
      <w:szCs w:val="18"/>
    </w:rPr>
  </w:style>
  <w:style w:type="paragraph" w:customStyle="1" w:styleId="54">
    <w:name w:val="正文 A"/>
    <w:basedOn w:val="1"/>
    <w:qFormat/>
    <w:uiPriority w:val="0"/>
    <w:pPr>
      <w:spacing w:line="240" w:lineRule="auto"/>
      <w:ind w:firstLine="0" w:firstLineChars="0"/>
    </w:pPr>
    <w:rPr>
      <w:rFonts w:ascii="Calibri" w:hAnsi="Calibri" w:eastAsia="宋体" w:cs="Times New Roman"/>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21</Pages>
  <Words>2015</Words>
  <Characters>2181</Characters>
  <Lines>35</Lines>
  <Paragraphs>9</Paragraphs>
  <TotalTime>36</TotalTime>
  <ScaleCrop>false</ScaleCrop>
  <LinksUpToDate>false</LinksUpToDate>
  <CharactersWithSpaces>2234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2024-07-22T08:42:00Z</dcterms:created>
  <dc:creator>Admin</dc:creator>
  <cp:lastModifiedBy>陈永秀</cp:lastModifiedBy>
  <dcterms:modified xsi:type="dcterms:W3CDTF">2025-11-20T08:27:29Z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6583CA200BFD493CB1A342FF56B2D2D7_13</vt:lpwstr>
  </property>
  <property fmtid="{D5CDD505-2E9C-101B-9397-08002B2CF9AE}" pid="4" name="KSOTemplateDocerSaveRecord">
    <vt:lpwstr>eyJoZGlkIjoiMGQwZjNhZjI0MTEwNDAxMmI2ODI4YThjZGQ0NjZhNTciLCJ1c2VySWQiOiIxNzI5NDY5MTQ3In0=</vt:lpwstr>
  </property>
</Properties>
</file>