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福建省肿瘤医院医学影像</w:t>
      </w:r>
      <w:bookmarkStart w:id="0" w:name="OLE_LINK1"/>
      <w:r>
        <w:rPr>
          <w:rFonts w:hint="eastAsia" w:ascii="方正小标宋简体" w:hAnsi="方正小标宋简体" w:eastAsia="方正小标宋简体" w:cs="方正小标宋简体"/>
          <w:b w:val="0"/>
          <w:kern w:val="2"/>
          <w:szCs w:val="44"/>
        </w:rPr>
        <w:t>专用显示器</w:t>
      </w:r>
      <w:bookmarkEnd w:id="0"/>
    </w:p>
    <w:p>
      <w:pPr>
        <w:pStyle w:val="2"/>
        <w:spacing w:after="0"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网超品牌论证</w:t>
      </w:r>
      <w:r>
        <w:rPr>
          <w:rFonts w:hint="eastAsia" w:ascii="方正小标宋简体" w:hAnsi="方正小标宋简体" w:eastAsia="方正小标宋简体" w:cs="方正小标宋简体"/>
          <w:b w:val="0"/>
          <w:kern w:val="2"/>
          <w:szCs w:val="44"/>
        </w:rPr>
        <w:t>公告</w:t>
      </w:r>
    </w:p>
    <w:p>
      <w:pPr>
        <w:widowControl/>
        <w:shd w:val="clear" w:color="auto" w:fill="FFFFFF"/>
        <w:adjustRightInd w:val="0"/>
        <w:snapToGrid w:val="0"/>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医学影像专用显示器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20</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after="0"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after="0"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after="0"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陈工、郑工</w:t>
      </w:r>
    </w:p>
    <w:p>
      <w:pPr>
        <w:pStyle w:val="12"/>
        <w:spacing w:after="0" w:line="360" w:lineRule="auto"/>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Spec="center" w:tblpY="283"/>
        <w:tblOverlap w:val="never"/>
        <w:tblW w:w="8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3178"/>
        <w:gridCol w:w="1590"/>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2041" w:type="dxa"/>
            <w:vAlign w:val="top"/>
          </w:tcPr>
          <w:p>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top"/>
          </w:tcPr>
          <w:p>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top"/>
          </w:tcPr>
          <w:p>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756" w:type="dxa"/>
            <w:vAlign w:val="top"/>
          </w:tcPr>
          <w:p>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2041" w:type="dxa"/>
            <w:vAlign w:val="center"/>
          </w:tcPr>
          <w:p>
            <w:pPr>
              <w:widowControl/>
              <w:spacing w:after="0" w:line="360" w:lineRule="auto"/>
              <w:jc w:val="center"/>
              <w:rPr>
                <w:rFonts w:ascii="仿宋_GB2312" w:hAnsi="仿宋_GB2312" w:eastAsia="仿宋_GB2312" w:cs="仿宋_GB2312"/>
                <w:sz w:val="32"/>
                <w:szCs w:val="32"/>
              </w:rPr>
            </w:pPr>
            <w:r>
              <w:rPr>
                <w:rFonts w:hint="eastAsia" w:ascii="宋体" w:hAnsi="宋体" w:cs="宋体"/>
                <w:b/>
                <w:bCs/>
                <w:color w:val="000000"/>
                <w:kern w:val="0"/>
                <w:sz w:val="24"/>
              </w:rPr>
              <w:t>（一）</w:t>
            </w:r>
          </w:p>
        </w:tc>
        <w:tc>
          <w:tcPr>
            <w:tcW w:w="3178" w:type="dxa"/>
            <w:vAlign w:val="center"/>
          </w:tcPr>
          <w:p>
            <w:pPr>
              <w:spacing w:after="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医学影像专用显示器</w:t>
            </w:r>
          </w:p>
        </w:tc>
        <w:tc>
          <w:tcPr>
            <w:tcW w:w="1590" w:type="dxa"/>
            <w:vAlign w:val="center"/>
          </w:tcPr>
          <w:p>
            <w:pPr>
              <w:spacing w:after="0"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3台</w:t>
            </w:r>
          </w:p>
        </w:tc>
        <w:tc>
          <w:tcPr>
            <w:tcW w:w="1756" w:type="dxa"/>
            <w:vAlign w:val="center"/>
          </w:tcPr>
          <w:p>
            <w:pPr>
              <w:spacing w:after="0" w:line="360" w:lineRule="auto"/>
              <w:jc w:val="center"/>
              <w:rPr>
                <w:rFonts w:hint="default" w:ascii="宋体" w:hAnsi="宋体" w:cs="宋体"/>
                <w:kern w:val="0"/>
                <w:sz w:val="24"/>
                <w:lang w:val="en-US"/>
              </w:rPr>
            </w:pPr>
            <w:r>
              <w:rPr>
                <w:rFonts w:hint="eastAsia" w:ascii="宋体" w:hAnsi="宋体" w:cs="宋体"/>
                <w:kern w:val="0"/>
                <w:sz w:val="24"/>
                <w:lang w:val="en-US" w:eastAsia="zh-CN"/>
              </w:rPr>
              <w:t>12</w:t>
            </w:r>
          </w:p>
        </w:tc>
      </w:tr>
    </w:tbl>
    <w:p/>
    <w:p>
      <w:pPr>
        <w:keepNext/>
        <w:widowControl/>
        <w:shd w:val="clear" w:color="auto" w:fill="FFFFFF"/>
        <w:autoSpaceDE w:val="0"/>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二、技术功能及服务要求（以“★”标示的内容为不允许负偏离的实质性要求）</w:t>
      </w:r>
    </w:p>
    <w:p>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85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序号</w:t>
            </w:r>
          </w:p>
        </w:tc>
        <w:tc>
          <w:tcPr>
            <w:tcW w:w="1418"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项目</w:t>
            </w:r>
          </w:p>
        </w:tc>
        <w:tc>
          <w:tcPr>
            <w:tcW w:w="850"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数量</w:t>
            </w:r>
          </w:p>
        </w:tc>
        <w:tc>
          <w:tcPr>
            <w:tcW w:w="6379"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pPr>
              <w:snapToGrid w:val="0"/>
              <w:spacing w:after="0" w:line="360" w:lineRule="auto"/>
              <w:jc w:val="center"/>
              <w:rPr>
                <w:rFonts w:ascii="宋体" w:hAnsi="宋体" w:cs="宋体"/>
                <w:kern w:val="0"/>
                <w:sz w:val="24"/>
              </w:rPr>
            </w:pPr>
            <w:r>
              <w:rPr>
                <w:rFonts w:hint="eastAsia" w:ascii="宋体" w:hAnsi="宋体" w:cs="宋体"/>
                <w:kern w:val="0"/>
                <w:sz w:val="24"/>
              </w:rPr>
              <w:t>1</w:t>
            </w:r>
          </w:p>
        </w:tc>
        <w:tc>
          <w:tcPr>
            <w:tcW w:w="1418" w:type="dxa"/>
            <w:vAlign w:val="center"/>
          </w:tcPr>
          <w:p>
            <w:pPr>
              <w:snapToGrid w:val="0"/>
              <w:spacing w:after="0" w:line="360" w:lineRule="auto"/>
              <w:jc w:val="center"/>
              <w:rPr>
                <w:rFonts w:hint="default" w:ascii="宋体" w:hAnsi="宋体" w:eastAsia="宋体" w:cs="宋体"/>
                <w:kern w:val="0"/>
                <w:sz w:val="24"/>
                <w:lang w:val="en-US" w:eastAsia="zh-CN"/>
              </w:rPr>
            </w:pPr>
            <w:r>
              <w:rPr>
                <w:rFonts w:hint="eastAsia" w:ascii="仿宋_GB2312" w:hAnsi="仿宋_GB2312" w:eastAsia="仿宋_GB2312" w:cs="仿宋_GB2312"/>
                <w:color w:val="000000"/>
                <w:kern w:val="0"/>
                <w:sz w:val="28"/>
                <w:szCs w:val="28"/>
                <w:lang w:val="en-US" w:eastAsia="zh-CN"/>
              </w:rPr>
              <w:t>医学影像专用显示器</w:t>
            </w:r>
          </w:p>
        </w:tc>
        <w:tc>
          <w:tcPr>
            <w:tcW w:w="850" w:type="dxa"/>
            <w:vAlign w:val="center"/>
          </w:tcPr>
          <w:p>
            <w:pPr>
              <w:snapToGrid w:val="0"/>
              <w:spacing w:after="0"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3台</w:t>
            </w:r>
          </w:p>
        </w:tc>
        <w:tc>
          <w:tcPr>
            <w:tcW w:w="6379" w:type="dxa"/>
            <w:vAlign w:val="top"/>
          </w:tcPr>
          <w:p>
            <w:pPr>
              <w:numPr>
                <w:ilvl w:val="0"/>
                <w:numId w:val="0"/>
              </w:numPr>
              <w:spacing w:after="0" w:line="360" w:lineRule="auto"/>
              <w:jc w:val="left"/>
              <w:rPr>
                <w:rFonts w:hint="default"/>
                <w:lang w:val="en-US" w:eastAsia="zh-CN"/>
              </w:rPr>
            </w:pPr>
            <w:r>
              <w:rPr>
                <w:rFonts w:hint="default"/>
                <w:lang w:val="en-US" w:eastAsia="zh-CN"/>
              </w:rPr>
              <w:t>1. 医学影像专用显示器（IPS 材质），内置</w:t>
            </w:r>
            <w:bookmarkStart w:id="1" w:name="_GoBack"/>
            <w:bookmarkEnd w:id="1"/>
            <w:r>
              <w:rPr>
                <w:rFonts w:hint="default"/>
                <w:lang w:val="en-US" w:eastAsia="zh-CN"/>
              </w:rPr>
              <w:t>DICOM曲线</w:t>
            </w:r>
          </w:p>
          <w:p>
            <w:pPr>
              <w:numPr>
                <w:ilvl w:val="0"/>
                <w:numId w:val="0"/>
              </w:numPr>
              <w:spacing w:after="0" w:line="360" w:lineRule="auto"/>
              <w:jc w:val="left"/>
              <w:rPr>
                <w:rFonts w:hint="default"/>
                <w:lang w:val="en-US" w:eastAsia="zh-CN"/>
              </w:rPr>
            </w:pPr>
            <w:r>
              <w:rPr>
                <w:rFonts w:hint="default"/>
                <w:lang w:val="en-US" w:eastAsia="zh-CN"/>
              </w:rPr>
              <w:t>2. 尺寸≥27寸，彩色液晶屏，分辨率≥3280x2048</w:t>
            </w:r>
          </w:p>
          <w:p>
            <w:pPr>
              <w:numPr>
                <w:ilvl w:val="0"/>
                <w:numId w:val="0"/>
              </w:numPr>
              <w:spacing w:after="0" w:line="360" w:lineRule="auto"/>
              <w:jc w:val="left"/>
              <w:rPr>
                <w:rFonts w:hint="default"/>
                <w:lang w:val="en-US" w:eastAsia="zh-CN"/>
              </w:rPr>
            </w:pPr>
            <w:r>
              <w:rPr>
                <w:rFonts w:hint="default"/>
                <w:lang w:val="en-US" w:eastAsia="zh-CN"/>
              </w:rPr>
              <w:t>3. 点距≤0.1997 mm x 0.1997 mm</w:t>
            </w:r>
          </w:p>
          <w:p>
            <w:pPr>
              <w:numPr>
                <w:ilvl w:val="0"/>
                <w:numId w:val="0"/>
              </w:numPr>
              <w:spacing w:after="0" w:line="360" w:lineRule="auto"/>
              <w:jc w:val="left"/>
              <w:rPr>
                <w:rFonts w:hint="default"/>
                <w:lang w:val="en-US" w:eastAsia="zh-CN"/>
              </w:rPr>
            </w:pPr>
            <w:r>
              <w:rPr>
                <w:rFonts w:hint="default"/>
                <w:lang w:val="en-US" w:eastAsia="zh-CN"/>
              </w:rPr>
              <w:t>4. 色深≥8bit</w:t>
            </w:r>
          </w:p>
          <w:p>
            <w:pPr>
              <w:numPr>
                <w:ilvl w:val="0"/>
                <w:numId w:val="0"/>
              </w:numPr>
              <w:spacing w:after="0" w:line="360" w:lineRule="auto"/>
              <w:jc w:val="left"/>
              <w:rPr>
                <w:rFonts w:hint="default"/>
                <w:lang w:val="en-US" w:eastAsia="zh-CN"/>
              </w:rPr>
            </w:pPr>
            <w:r>
              <w:rPr>
                <w:rFonts w:hint="default"/>
                <w:lang w:val="en-US" w:eastAsia="zh-CN"/>
              </w:rPr>
              <w:t>5. 亮度≥300cd/m"</w:t>
            </w:r>
          </w:p>
          <w:p>
            <w:pPr>
              <w:numPr>
                <w:ilvl w:val="0"/>
                <w:numId w:val="0"/>
              </w:numPr>
              <w:spacing w:after="0" w:line="360" w:lineRule="auto"/>
              <w:jc w:val="left"/>
              <w:rPr>
                <w:rFonts w:hint="default"/>
                <w:lang w:val="en-US" w:eastAsia="zh-CN"/>
              </w:rPr>
            </w:pPr>
            <w:r>
              <w:rPr>
                <w:rFonts w:hint="default"/>
                <w:lang w:val="en-US" w:eastAsia="zh-CN"/>
              </w:rPr>
              <w:t>6. 亮度均匀性≥90%</w:t>
            </w:r>
          </w:p>
          <w:p>
            <w:pPr>
              <w:numPr>
                <w:ilvl w:val="0"/>
                <w:numId w:val="0"/>
              </w:numPr>
              <w:spacing w:after="0" w:line="360" w:lineRule="auto"/>
              <w:jc w:val="left"/>
              <w:rPr>
                <w:rFonts w:hint="default"/>
                <w:lang w:val="en-US" w:eastAsia="zh-CN"/>
              </w:rPr>
            </w:pPr>
            <w:r>
              <w:rPr>
                <w:rFonts w:hint="default"/>
                <w:lang w:val="en-US" w:eastAsia="zh-CN"/>
              </w:rPr>
              <w:t>7. 对比度≥900:1</w:t>
            </w:r>
          </w:p>
          <w:p>
            <w:pPr>
              <w:numPr>
                <w:ilvl w:val="0"/>
                <w:numId w:val="0"/>
              </w:numPr>
              <w:spacing w:after="0" w:line="360" w:lineRule="auto"/>
              <w:jc w:val="left"/>
              <w:rPr>
                <w:rFonts w:hint="default"/>
                <w:lang w:val="en-US" w:eastAsia="zh-CN"/>
              </w:rPr>
            </w:pPr>
            <w:r>
              <w:rPr>
                <w:rFonts w:hint="default"/>
                <w:lang w:val="en-US" w:eastAsia="zh-CN"/>
              </w:rPr>
              <w:t>8. 响应时间≤25ms</w:t>
            </w:r>
          </w:p>
          <w:p>
            <w:pPr>
              <w:numPr>
                <w:ilvl w:val="0"/>
                <w:numId w:val="0"/>
              </w:numPr>
              <w:spacing w:after="0" w:line="360" w:lineRule="auto"/>
              <w:jc w:val="left"/>
              <w:rPr>
                <w:rFonts w:hint="default"/>
                <w:lang w:val="en-US" w:eastAsia="zh-CN"/>
              </w:rPr>
            </w:pPr>
            <w:r>
              <w:rPr>
                <w:rFonts w:hint="default"/>
                <w:lang w:val="en-US" w:eastAsia="zh-CN"/>
              </w:rPr>
              <w:t>9. 可视角度≥150°（上下）/170°（左右）</w:t>
            </w:r>
          </w:p>
          <w:p>
            <w:pPr>
              <w:numPr>
                <w:ilvl w:val="0"/>
                <w:numId w:val="0"/>
              </w:numPr>
              <w:spacing w:after="0" w:line="360" w:lineRule="auto"/>
              <w:jc w:val="left"/>
              <w:rPr>
                <w:rFonts w:hint="default"/>
                <w:lang w:val="en-US" w:eastAsia="zh-CN"/>
              </w:rPr>
            </w:pPr>
            <w:r>
              <w:rPr>
                <w:rFonts w:hint="default"/>
                <w:lang w:val="en-US" w:eastAsia="zh-CN"/>
              </w:rPr>
              <w:t>10. 表面处理：防眩光</w:t>
            </w:r>
          </w:p>
          <w:p>
            <w:pPr>
              <w:numPr>
                <w:ilvl w:val="0"/>
                <w:numId w:val="0"/>
              </w:numPr>
              <w:spacing w:after="0" w:line="360" w:lineRule="auto"/>
              <w:jc w:val="left"/>
              <w:rPr>
                <w:rFonts w:hint="default"/>
                <w:lang w:val="en-US" w:eastAsia="zh-CN"/>
              </w:rPr>
            </w:pPr>
            <w:r>
              <w:rPr>
                <w:rFonts w:hint="default"/>
                <w:lang w:val="en-US" w:eastAsia="zh-CN"/>
              </w:rPr>
              <w:t>11. 信号输入：HDMI ≥1个，DP≥1个</w:t>
            </w:r>
          </w:p>
          <w:p>
            <w:pPr>
              <w:numPr>
                <w:ilvl w:val="0"/>
                <w:numId w:val="0"/>
              </w:numPr>
              <w:spacing w:after="0" w:line="360" w:lineRule="auto"/>
              <w:jc w:val="left"/>
              <w:rPr>
                <w:rFonts w:hint="default"/>
                <w:lang w:val="en-US" w:eastAsia="zh-CN"/>
              </w:rPr>
            </w:pPr>
            <w:r>
              <w:rPr>
                <w:rFonts w:hint="default"/>
                <w:lang w:val="en-US" w:eastAsia="zh-CN"/>
              </w:rPr>
              <w:t>12. 分屏显示：支持屏幕内的分屏显示（≥2）</w:t>
            </w:r>
          </w:p>
          <w:p>
            <w:pPr>
              <w:numPr>
                <w:ilvl w:val="0"/>
                <w:numId w:val="0"/>
              </w:numPr>
              <w:spacing w:after="0" w:line="360" w:lineRule="auto"/>
              <w:jc w:val="left"/>
              <w:rPr>
                <w:rFonts w:hint="default"/>
                <w:lang w:val="en-US" w:eastAsia="zh-CN"/>
              </w:rPr>
            </w:pPr>
            <w:r>
              <w:rPr>
                <w:rFonts w:hint="default"/>
                <w:lang w:val="en-US" w:eastAsia="zh-CN"/>
              </w:rPr>
              <w:t>13. 双向旋转底座：支持显示器双向90°旋转</w:t>
            </w:r>
          </w:p>
          <w:p>
            <w:pPr>
              <w:numPr>
                <w:ilvl w:val="0"/>
                <w:numId w:val="0"/>
              </w:numPr>
              <w:spacing w:after="0" w:line="360" w:lineRule="auto"/>
              <w:jc w:val="left"/>
              <w:rPr>
                <w:rFonts w:hint="default"/>
                <w:lang w:val="en-US" w:eastAsia="zh-CN"/>
              </w:rPr>
            </w:pPr>
            <w:r>
              <w:rPr>
                <w:rFonts w:hint="default"/>
                <w:lang w:val="en-US" w:eastAsia="zh-CN"/>
              </w:rPr>
              <w:t>14. 电源要求：100-240V,50-60Hz</w:t>
            </w:r>
          </w:p>
          <w:p>
            <w:pPr>
              <w:numPr>
                <w:ilvl w:val="0"/>
                <w:numId w:val="0"/>
              </w:numPr>
              <w:spacing w:after="0" w:line="360" w:lineRule="auto"/>
              <w:jc w:val="left"/>
              <w:rPr>
                <w:rFonts w:hint="default"/>
                <w:lang w:val="en-US" w:eastAsia="zh-CN"/>
              </w:rPr>
            </w:pPr>
            <w:r>
              <w:rPr>
                <w:rFonts w:hint="default"/>
                <w:lang w:val="en-US" w:eastAsia="zh-CN"/>
              </w:rPr>
              <w:t>15. 最大消耗功率≤</w:t>
            </w:r>
            <w:r>
              <w:rPr>
                <w:rFonts w:hint="eastAsia"/>
                <w:lang w:val="en-US" w:eastAsia="zh-CN"/>
              </w:rPr>
              <w:t>80W</w:t>
            </w:r>
          </w:p>
          <w:p>
            <w:pPr>
              <w:numPr>
                <w:ilvl w:val="0"/>
                <w:numId w:val="0"/>
              </w:numPr>
              <w:spacing w:after="0" w:line="360" w:lineRule="auto"/>
              <w:jc w:val="left"/>
              <w:rPr>
                <w:rFonts w:hint="default"/>
                <w:lang w:val="en-US" w:eastAsia="zh-CN"/>
              </w:rPr>
            </w:pPr>
            <w:r>
              <w:rPr>
                <w:rFonts w:hint="default"/>
                <w:lang w:val="en-US" w:eastAsia="zh-CN"/>
              </w:rPr>
              <w:t xml:space="preserve">16. </w:t>
            </w:r>
            <w:r>
              <w:rPr>
                <w:rFonts w:hint="eastAsia"/>
                <w:lang w:val="en-US" w:eastAsia="zh-CN"/>
              </w:rPr>
              <w:t>五年</w:t>
            </w:r>
            <w:r>
              <w:rPr>
                <w:rFonts w:hint="default"/>
                <w:lang w:val="en-US" w:eastAsia="zh-CN"/>
              </w:rPr>
              <w:t>质保</w:t>
            </w:r>
          </w:p>
        </w:tc>
      </w:tr>
    </w:tbl>
    <w:p>
      <w:pPr>
        <w:numPr>
          <w:ilvl w:val="0"/>
          <w:numId w:val="1"/>
        </w:numPr>
        <w:spacing w:after="0"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6"/>
        <w:spacing w:before="0" w:beforeAutospacing="0" w:after="0" w:afterAutospacing="0" w:line="480" w:lineRule="atLeast"/>
        <w:ind w:firstLine="640"/>
        <w:jc w:val="both"/>
      </w:pPr>
      <w:r>
        <w:rPr>
          <w:rStyle w:val="18"/>
          <w:rFonts w:hint="eastAsia" w:ascii="仿宋_GB2312" w:eastAsia="仿宋_GB2312"/>
          <w:sz w:val="32"/>
          <w:szCs w:val="32"/>
        </w:rPr>
        <w:t>1、本项目为</w:t>
      </w:r>
      <w:r>
        <w:rPr>
          <w:rStyle w:val="18"/>
          <w:rFonts w:hint="eastAsia" w:ascii="仿宋_GB2312" w:eastAsia="仿宋_GB2312"/>
          <w:sz w:val="32"/>
          <w:szCs w:val="32"/>
          <w:lang w:val="en-US" w:eastAsia="zh-CN"/>
        </w:rPr>
        <w:t>国产品牌</w:t>
      </w:r>
      <w:r>
        <w:rPr>
          <w:rStyle w:val="18"/>
          <w:rFonts w:hint="eastAsia" w:ascii="仿宋_GB2312" w:eastAsia="仿宋_GB2312"/>
          <w:sz w:val="32"/>
          <w:szCs w:val="32"/>
        </w:rPr>
        <w:t>，设备安装、系统集成、软件客户化均由乙方负责。提供设备</w:t>
      </w:r>
      <w:r>
        <w:rPr>
          <w:rStyle w:val="18"/>
          <w:rFonts w:hint="eastAsia" w:ascii="仿宋_GB2312" w:eastAsia="仿宋_GB2312"/>
          <w:sz w:val="32"/>
          <w:szCs w:val="32"/>
          <w:lang w:val="en-US" w:eastAsia="zh-CN"/>
        </w:rPr>
        <w:t>软硬件安装</w:t>
      </w:r>
      <w:r>
        <w:rPr>
          <w:rStyle w:val="18"/>
          <w:rFonts w:hint="eastAsia" w:ascii="仿宋_GB2312" w:eastAsia="仿宋_GB2312"/>
          <w:sz w:val="32"/>
          <w:szCs w:val="32"/>
        </w:rPr>
        <w:t>工作，同时结合医院现有设备及应用情况，实施现有及本项目规划、等保安全、系统集成、协助完成医院评审工作包括但不限于三级等保评审、电子病历评审、互联互通评审等各项工作。</w:t>
      </w:r>
    </w:p>
    <w:p>
      <w:pPr>
        <w:pStyle w:val="12"/>
        <w:ind w:firstLine="640" w:firstLineChars="200"/>
        <w:rPr>
          <w:rFonts w:ascii="仿宋_GB2312" w:hAnsi="仿宋_GB2312" w:cs="仿宋_GB2312"/>
          <w:b/>
          <w:bCs/>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pPr>
        <w:pStyle w:val="12"/>
        <w:numPr>
          <w:ilvl w:val="0"/>
          <w:numId w:val="1"/>
        </w:numPr>
        <w:spacing w:after="0"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after="0" w:line="360" w:lineRule="auto"/>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after="0" w:line="360" w:lineRule="auto"/>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2"/>
        <w:spacing w:after="0" w:line="360" w:lineRule="auto"/>
      </w:pPr>
    </w:p>
    <w:p>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after="0" w:line="360" w:lineRule="auto"/>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after="0"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after="0"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bl>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pStyle w:val="12"/>
        <w:spacing w:after="0" w:line="360" w:lineRule="auto"/>
        <w:rPr>
          <w:rFonts w:ascii="仿宋_GB2312" w:hAnsi="仿宋_GB2312" w:cs="仿宋_GB2312"/>
          <w:bCs/>
          <w:sz w:val="32"/>
          <w:szCs w:val="32"/>
          <w:shd w:val="clear" w:color="auto" w:fill="FFFFFF"/>
        </w:rPr>
      </w:pPr>
    </w:p>
    <w:p>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38A3960"/>
    <w:rsid w:val="03D45D33"/>
    <w:rsid w:val="06AB3EF9"/>
    <w:rsid w:val="073366F3"/>
    <w:rsid w:val="1C4E7E93"/>
    <w:rsid w:val="3BC417E3"/>
    <w:rsid w:val="447D605D"/>
    <w:rsid w:val="48167DDB"/>
    <w:rsid w:val="4CE93B72"/>
    <w:rsid w:val="595C281E"/>
    <w:rsid w:val="59B241EC"/>
    <w:rsid w:val="5D0921C1"/>
    <w:rsid w:val="6AB371B1"/>
    <w:rsid w:val="7478419B"/>
    <w:rsid w:val="76953B71"/>
    <w:rsid w:val="7C263D3B"/>
    <w:rsid w:val="7F637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link w:val="7"/>
    <w:qFormat/>
    <w:uiPriority w:val="0"/>
    <w:rPr>
      <w:rFonts w:ascii="Calibri" w:hAnsi="Calibri" w:cs="黑体"/>
      <w:kern w:val="2"/>
      <w:sz w:val="18"/>
      <w:szCs w:val="18"/>
    </w:rPr>
  </w:style>
  <w:style w:type="character" w:customStyle="1" w:styleId="18">
    <w:name w:val="b-free-read-leaf"/>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1207</Words>
  <Characters>1475</Characters>
  <Lines>26</Lines>
  <Paragraphs>7</Paragraphs>
  <TotalTime>0</TotalTime>
  <ScaleCrop>false</ScaleCrop>
  <LinksUpToDate>false</LinksUpToDate>
  <CharactersWithSpaces>1630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2023-06-20T07:45:00Z</cp:lastPrinted>
  <dcterms:modified xsi:type="dcterms:W3CDTF">2025-11-19T06:18:30Z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CB1A7F9F6AA24DF48A3E3B7973F34B3C_13</vt:lpwstr>
  </property>
  <property fmtid="{D5CDD505-2E9C-101B-9397-08002B2CF9AE}" pid="4" name="KSOTemplateDocerSaveRecord">
    <vt:lpwstr>eyJoZGlkIjoiMzcyYzQ4MzExOWIxM2ZmZWE3MDIzNjczNzVlZjFmOWYiLCJ1c2VySWQiOiIxNzAwODQwNTc2In0=</vt:lpwstr>
  </property>
</Properties>
</file>